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1DDA" w14:textId="77777777" w:rsidR="006156DD" w:rsidRPr="001107EC" w:rsidRDefault="006156DD" w:rsidP="006156DD">
      <w:pPr>
        <w:contextualSpacing/>
        <w:jc w:val="center"/>
        <w:rPr>
          <w:b/>
          <w:color w:val="000000"/>
          <w:spacing w:val="6"/>
          <w:sz w:val="22"/>
          <w:szCs w:val="22"/>
        </w:rPr>
      </w:pPr>
      <w:r w:rsidRPr="001107EC">
        <w:rPr>
          <w:b/>
          <w:color w:val="000000"/>
          <w:spacing w:val="6"/>
          <w:sz w:val="22"/>
          <w:szCs w:val="22"/>
        </w:rPr>
        <w:t xml:space="preserve">ПРИВАТНЕ АКЦІОНЕРНЕ ТОВАРИСТВО </w:t>
      </w:r>
      <w:r w:rsidRPr="001107EC">
        <w:rPr>
          <w:b/>
          <w:spacing w:val="6"/>
          <w:sz w:val="22"/>
          <w:szCs w:val="22"/>
        </w:rPr>
        <w:t>«ДТЕК ШАХТА КОМСОМОЛЕЦЬ ДОНБАСУ</w:t>
      </w:r>
      <w:r w:rsidRPr="001107EC">
        <w:rPr>
          <w:b/>
          <w:bCs/>
          <w:spacing w:val="6"/>
          <w:sz w:val="22"/>
          <w:szCs w:val="22"/>
        </w:rPr>
        <w:t>»</w:t>
      </w:r>
      <w:r w:rsidRPr="001107EC" w:rsidDel="00AE594A">
        <w:rPr>
          <w:b/>
          <w:color w:val="000000"/>
          <w:spacing w:val="6"/>
          <w:sz w:val="22"/>
          <w:szCs w:val="22"/>
        </w:rPr>
        <w:t xml:space="preserve"> </w:t>
      </w:r>
    </w:p>
    <w:p w14:paraId="193A0DF6" w14:textId="77777777" w:rsidR="006156DD" w:rsidRPr="001107EC" w:rsidRDefault="006156DD" w:rsidP="006156DD">
      <w:pPr>
        <w:pStyle w:val="Default"/>
        <w:ind w:left="567"/>
        <w:jc w:val="center"/>
        <w:rPr>
          <w:spacing w:val="6"/>
          <w:sz w:val="22"/>
          <w:szCs w:val="22"/>
          <w:lang w:val="uk-UA" w:eastAsia="ru-RU"/>
        </w:rPr>
      </w:pPr>
      <w:r w:rsidRPr="001107EC">
        <w:rPr>
          <w:spacing w:val="6"/>
          <w:sz w:val="22"/>
          <w:szCs w:val="22"/>
          <w:lang w:val="uk-UA" w:eastAsia="ru-RU"/>
        </w:rPr>
        <w:t>Місцезнаходження: 85000, Донецька обл., місто Добропілля, вулиця Київська, буд. 1</w:t>
      </w:r>
    </w:p>
    <w:p w14:paraId="63366112" w14:textId="77777777" w:rsidR="006156DD" w:rsidRPr="001107EC" w:rsidRDefault="006156DD" w:rsidP="006156DD">
      <w:pPr>
        <w:pStyle w:val="Default"/>
        <w:ind w:left="567"/>
        <w:jc w:val="center"/>
        <w:rPr>
          <w:spacing w:val="6"/>
          <w:sz w:val="22"/>
          <w:szCs w:val="22"/>
        </w:rPr>
      </w:pPr>
      <w:r w:rsidRPr="001107EC">
        <w:rPr>
          <w:spacing w:val="6"/>
          <w:sz w:val="22"/>
          <w:szCs w:val="22"/>
        </w:rPr>
        <w:t xml:space="preserve">код за ЄДРПОУ 05508186 </w:t>
      </w:r>
    </w:p>
    <w:p w14:paraId="3836CD0D" w14:textId="77777777" w:rsidR="006156DD" w:rsidRPr="001107EC" w:rsidRDefault="006156DD" w:rsidP="006156DD">
      <w:pPr>
        <w:spacing w:after="120"/>
        <w:ind w:left="567"/>
        <w:contextualSpacing/>
        <w:jc w:val="center"/>
        <w:rPr>
          <w:color w:val="000000"/>
          <w:spacing w:val="6"/>
          <w:sz w:val="22"/>
          <w:szCs w:val="22"/>
        </w:rPr>
      </w:pPr>
      <w:r w:rsidRPr="001107EC">
        <w:rPr>
          <w:color w:val="000000"/>
          <w:spacing w:val="6"/>
          <w:sz w:val="22"/>
          <w:szCs w:val="22"/>
        </w:rPr>
        <w:t xml:space="preserve">(далі також </w:t>
      </w:r>
      <w:r w:rsidRPr="001107EC">
        <w:rPr>
          <w:b/>
          <w:bCs/>
          <w:color w:val="000000"/>
          <w:spacing w:val="6"/>
          <w:sz w:val="22"/>
          <w:szCs w:val="22"/>
        </w:rPr>
        <w:t>«Товариство»</w:t>
      </w:r>
      <w:r w:rsidRPr="001107EC">
        <w:rPr>
          <w:color w:val="000000"/>
          <w:spacing w:val="6"/>
          <w:sz w:val="22"/>
          <w:szCs w:val="22"/>
        </w:rPr>
        <w:t xml:space="preserve"> </w:t>
      </w:r>
      <w:r w:rsidRPr="001107EC">
        <w:rPr>
          <w:spacing w:val="6"/>
          <w:sz w:val="22"/>
          <w:szCs w:val="22"/>
        </w:rPr>
        <w:t xml:space="preserve">або </w:t>
      </w:r>
      <w:r w:rsidRPr="001107EC">
        <w:rPr>
          <w:b/>
          <w:bCs/>
          <w:spacing w:val="6"/>
          <w:sz w:val="22"/>
          <w:szCs w:val="22"/>
        </w:rPr>
        <w:t>ПрАТ «ДТЕК ШАХТА КОМСОМОЛЕЦЬ ДОНБАСУ»</w:t>
      </w:r>
      <w:r w:rsidRPr="001107EC">
        <w:rPr>
          <w:color w:val="000000"/>
          <w:spacing w:val="6"/>
          <w:sz w:val="22"/>
          <w:szCs w:val="22"/>
        </w:rPr>
        <w:t>)</w:t>
      </w:r>
    </w:p>
    <w:p w14:paraId="29653993" w14:textId="614B9835" w:rsidR="006156DD" w:rsidRPr="001107EC" w:rsidRDefault="006156DD" w:rsidP="006156DD">
      <w:pPr>
        <w:pStyle w:val="a3"/>
        <w:ind w:left="0"/>
        <w:jc w:val="center"/>
        <w:rPr>
          <w:b/>
          <w:sz w:val="22"/>
          <w:szCs w:val="22"/>
        </w:rPr>
      </w:pPr>
      <w:r w:rsidRPr="001107EC">
        <w:rPr>
          <w:b/>
          <w:sz w:val="22"/>
          <w:szCs w:val="22"/>
        </w:rPr>
        <w:t>повідомляє про дистанційне проведення 2</w:t>
      </w:r>
      <w:r w:rsidR="00054D7D">
        <w:rPr>
          <w:b/>
          <w:sz w:val="22"/>
          <w:szCs w:val="22"/>
          <w:lang w:val="ru-RU"/>
        </w:rPr>
        <w:t xml:space="preserve">8 </w:t>
      </w:r>
      <w:r w:rsidR="00054D7D" w:rsidRPr="00840F8B">
        <w:rPr>
          <w:b/>
          <w:sz w:val="22"/>
          <w:szCs w:val="22"/>
        </w:rPr>
        <w:t>травня</w:t>
      </w:r>
      <w:r w:rsidRPr="00840F8B">
        <w:rPr>
          <w:b/>
          <w:sz w:val="22"/>
          <w:szCs w:val="22"/>
        </w:rPr>
        <w:t xml:space="preserve"> 2021 року (дата завершення голосування) </w:t>
      </w:r>
      <w:r w:rsidRPr="00840F8B">
        <w:rPr>
          <w:b/>
          <w:color w:val="000000"/>
          <w:spacing w:val="-6"/>
          <w:sz w:val="22"/>
          <w:szCs w:val="22"/>
        </w:rPr>
        <w:t>річних Загальних зборі</w:t>
      </w:r>
      <w:r w:rsidRPr="001107EC">
        <w:rPr>
          <w:b/>
          <w:color w:val="000000"/>
          <w:spacing w:val="-6"/>
          <w:sz w:val="22"/>
          <w:szCs w:val="22"/>
        </w:rPr>
        <w:t>в Товариства.</w:t>
      </w:r>
    </w:p>
    <w:p w14:paraId="2B5E8BAE" w14:textId="77777777" w:rsidR="006156DD" w:rsidRPr="001107EC" w:rsidRDefault="006156DD" w:rsidP="006156DD">
      <w:pPr>
        <w:contextualSpacing/>
        <w:jc w:val="both"/>
        <w:rPr>
          <w:color w:val="000000"/>
          <w:spacing w:val="-6"/>
          <w:sz w:val="22"/>
          <w:szCs w:val="22"/>
          <w:lang w:val="ru-RU"/>
        </w:rPr>
      </w:pPr>
    </w:p>
    <w:p w14:paraId="65214C6E" w14:textId="77777777" w:rsidR="006156DD" w:rsidRPr="001107EC" w:rsidRDefault="006156DD" w:rsidP="006156DD">
      <w:pPr>
        <w:contextualSpacing/>
        <w:jc w:val="center"/>
        <w:rPr>
          <w:color w:val="000000"/>
          <w:spacing w:val="-6"/>
          <w:sz w:val="22"/>
          <w:szCs w:val="22"/>
        </w:rPr>
      </w:pPr>
      <w:r w:rsidRPr="001107EC">
        <w:rPr>
          <w:color w:val="000000"/>
          <w:spacing w:val="-6"/>
          <w:sz w:val="22"/>
          <w:szCs w:val="22"/>
        </w:rPr>
        <w:t>ПРОЕКТ ПОРЯДКУ ДЕННОГО</w:t>
      </w:r>
    </w:p>
    <w:p w14:paraId="497DF6F8" w14:textId="77777777" w:rsidR="006156DD" w:rsidRPr="001107EC" w:rsidRDefault="006156DD" w:rsidP="006156DD">
      <w:pPr>
        <w:spacing w:before="120" w:after="120"/>
        <w:jc w:val="center"/>
        <w:rPr>
          <w:color w:val="000000"/>
          <w:spacing w:val="6"/>
          <w:sz w:val="22"/>
          <w:szCs w:val="22"/>
        </w:rPr>
      </w:pPr>
      <w:r w:rsidRPr="001107EC">
        <w:rPr>
          <w:color w:val="000000"/>
          <w:spacing w:val="6"/>
          <w:sz w:val="22"/>
          <w:szCs w:val="22"/>
        </w:rPr>
        <w:t>(перелік питань разом з проектом рішень щодо кожного з питань, включених до проекту порядку денного):</w:t>
      </w:r>
    </w:p>
    <w:tbl>
      <w:tblPr>
        <w:tblStyle w:val="a5"/>
        <w:tblW w:w="0" w:type="auto"/>
        <w:tblLook w:val="04A0" w:firstRow="1" w:lastRow="0" w:firstColumn="1" w:lastColumn="0" w:noHBand="0" w:noVBand="1"/>
      </w:tblPr>
      <w:tblGrid>
        <w:gridCol w:w="475"/>
        <w:gridCol w:w="2504"/>
        <w:gridCol w:w="6366"/>
      </w:tblGrid>
      <w:tr w:rsidR="006156DD" w:rsidRPr="001107EC" w14:paraId="5026A085" w14:textId="77777777" w:rsidTr="009F20BC">
        <w:tc>
          <w:tcPr>
            <w:tcW w:w="489" w:type="dxa"/>
            <w:vAlign w:val="center"/>
          </w:tcPr>
          <w:p w14:paraId="00786E3A" w14:textId="77777777" w:rsidR="006156DD" w:rsidRPr="001107EC" w:rsidRDefault="006156DD" w:rsidP="009F20BC">
            <w:pPr>
              <w:jc w:val="center"/>
              <w:rPr>
                <w:color w:val="000000"/>
                <w:sz w:val="22"/>
                <w:szCs w:val="22"/>
                <w:lang w:val="uk-UA"/>
              </w:rPr>
            </w:pPr>
            <w:r w:rsidRPr="001107EC">
              <w:rPr>
                <w:color w:val="000000" w:themeColor="text1"/>
                <w:sz w:val="22"/>
                <w:szCs w:val="22"/>
                <w:lang w:val="uk-UA"/>
              </w:rPr>
              <w:t>1.</w:t>
            </w:r>
          </w:p>
        </w:tc>
        <w:tc>
          <w:tcPr>
            <w:tcW w:w="2658" w:type="dxa"/>
            <w:vAlign w:val="center"/>
          </w:tcPr>
          <w:p w14:paraId="27294A4A" w14:textId="77777777" w:rsidR="006156DD" w:rsidRPr="001107EC" w:rsidRDefault="006156DD" w:rsidP="008A5A3C">
            <w:pPr>
              <w:rPr>
                <w:sz w:val="22"/>
                <w:szCs w:val="22"/>
                <w:lang w:val="uk-UA"/>
              </w:rPr>
            </w:pPr>
            <w:r w:rsidRPr="001107EC">
              <w:rPr>
                <w:color w:val="000000" w:themeColor="text1"/>
                <w:sz w:val="22"/>
                <w:szCs w:val="22"/>
                <w:lang w:val="uk-UA"/>
              </w:rPr>
              <w:t>Розгляд звіту Виконавчого органу Товариства про результати фінансово-господарської діяльності Товариства за 2019  та 2020 роки та прийняття рішень за наслідками його розгляду.</w:t>
            </w:r>
          </w:p>
        </w:tc>
        <w:tc>
          <w:tcPr>
            <w:tcW w:w="7047" w:type="dxa"/>
            <w:vAlign w:val="center"/>
          </w:tcPr>
          <w:p w14:paraId="7613BA98" w14:textId="77777777" w:rsidR="006156DD" w:rsidRPr="001107EC" w:rsidRDefault="006156DD" w:rsidP="00054D7D">
            <w:pPr>
              <w:pStyle w:val="a3"/>
              <w:numPr>
                <w:ilvl w:val="1"/>
                <w:numId w:val="1"/>
              </w:numPr>
              <w:ind w:left="432" w:hanging="432"/>
              <w:contextualSpacing w:val="0"/>
              <w:jc w:val="both"/>
              <w:rPr>
                <w:color w:val="000000" w:themeColor="text1"/>
                <w:sz w:val="22"/>
                <w:szCs w:val="22"/>
                <w:lang w:val="uk-UA"/>
              </w:rPr>
            </w:pPr>
            <w:r w:rsidRPr="001107EC">
              <w:rPr>
                <w:color w:val="000000" w:themeColor="text1"/>
                <w:sz w:val="22"/>
                <w:szCs w:val="22"/>
                <w:lang w:val="uk-UA"/>
              </w:rPr>
              <w:t>Затвердити звіт Виконавчого органу Товариства про результати фінансово-господарської діяльності Товариства за 2019  та 2020 роки (додається).</w:t>
            </w:r>
          </w:p>
          <w:p w14:paraId="6DEA4A05" w14:textId="77777777" w:rsidR="006156DD" w:rsidRPr="001107EC" w:rsidRDefault="006156DD" w:rsidP="006156DD">
            <w:pPr>
              <w:pStyle w:val="a3"/>
              <w:numPr>
                <w:ilvl w:val="1"/>
                <w:numId w:val="1"/>
              </w:numPr>
              <w:ind w:left="432" w:hanging="432"/>
              <w:contextualSpacing w:val="0"/>
              <w:rPr>
                <w:sz w:val="22"/>
                <w:szCs w:val="22"/>
                <w:lang w:val="uk-UA"/>
              </w:rPr>
            </w:pPr>
            <w:r w:rsidRPr="001107EC">
              <w:rPr>
                <w:color w:val="000000" w:themeColor="text1"/>
                <w:sz w:val="22"/>
                <w:szCs w:val="22"/>
                <w:lang w:val="uk-UA"/>
              </w:rPr>
              <w:t>Рішень за наслідками розгляду звіту Виконавчого органу Товариства про результати фінансово-господарської діяльності Товариства за 2019  та 2020 роки не приймати.</w:t>
            </w:r>
          </w:p>
        </w:tc>
      </w:tr>
      <w:tr w:rsidR="006156DD" w:rsidRPr="001107EC" w14:paraId="0FB210A9" w14:textId="77777777" w:rsidTr="009F20BC">
        <w:tc>
          <w:tcPr>
            <w:tcW w:w="489" w:type="dxa"/>
            <w:vAlign w:val="center"/>
          </w:tcPr>
          <w:p w14:paraId="74E8EE26" w14:textId="77777777" w:rsidR="006156DD" w:rsidRPr="001107EC" w:rsidRDefault="006156DD" w:rsidP="009F20BC">
            <w:pPr>
              <w:jc w:val="center"/>
              <w:rPr>
                <w:color w:val="000000"/>
                <w:sz w:val="22"/>
                <w:szCs w:val="22"/>
                <w:lang w:val="uk-UA"/>
              </w:rPr>
            </w:pPr>
            <w:r w:rsidRPr="001107EC">
              <w:rPr>
                <w:color w:val="000000" w:themeColor="text1"/>
                <w:sz w:val="22"/>
                <w:szCs w:val="22"/>
                <w:lang w:val="uk-UA"/>
              </w:rPr>
              <w:t>2.</w:t>
            </w:r>
          </w:p>
        </w:tc>
        <w:tc>
          <w:tcPr>
            <w:tcW w:w="2658" w:type="dxa"/>
            <w:vAlign w:val="center"/>
          </w:tcPr>
          <w:p w14:paraId="27050DDC" w14:textId="77777777" w:rsidR="006156DD" w:rsidRPr="001107EC" w:rsidRDefault="006156DD" w:rsidP="008A5A3C">
            <w:pPr>
              <w:rPr>
                <w:sz w:val="22"/>
                <w:szCs w:val="22"/>
                <w:lang w:val="uk-UA"/>
              </w:rPr>
            </w:pPr>
            <w:r w:rsidRPr="001107EC">
              <w:rPr>
                <w:color w:val="000000" w:themeColor="text1"/>
                <w:sz w:val="22"/>
                <w:szCs w:val="22"/>
                <w:lang w:val="uk-UA"/>
              </w:rPr>
              <w:t>Розгляд звіту Наглядової ради Товариства за 2019  та 2020 роки  та прийняття рішень за наслідками його розгляду.</w:t>
            </w:r>
          </w:p>
        </w:tc>
        <w:tc>
          <w:tcPr>
            <w:tcW w:w="7047" w:type="dxa"/>
            <w:vAlign w:val="center"/>
          </w:tcPr>
          <w:p w14:paraId="07F173B0" w14:textId="77777777" w:rsidR="006156DD" w:rsidRPr="001107EC" w:rsidRDefault="006156DD" w:rsidP="006156DD">
            <w:pPr>
              <w:pStyle w:val="a3"/>
              <w:numPr>
                <w:ilvl w:val="1"/>
                <w:numId w:val="2"/>
              </w:numPr>
              <w:contextualSpacing w:val="0"/>
              <w:rPr>
                <w:color w:val="000000" w:themeColor="text1"/>
                <w:sz w:val="22"/>
                <w:szCs w:val="22"/>
                <w:lang w:val="uk-UA"/>
              </w:rPr>
            </w:pPr>
            <w:r w:rsidRPr="001107EC">
              <w:rPr>
                <w:color w:val="000000" w:themeColor="text1"/>
                <w:sz w:val="22"/>
                <w:szCs w:val="22"/>
                <w:lang w:val="uk-UA"/>
              </w:rPr>
              <w:t>Затвердити звіт Наглядової ради Товариства за 2019  та 2020 роки  (додається).</w:t>
            </w:r>
          </w:p>
          <w:p w14:paraId="54EFD458" w14:textId="77777777" w:rsidR="006156DD" w:rsidRPr="001107EC" w:rsidRDefault="006156DD" w:rsidP="00377502">
            <w:pPr>
              <w:pStyle w:val="a3"/>
              <w:numPr>
                <w:ilvl w:val="1"/>
                <w:numId w:val="2"/>
              </w:numPr>
              <w:contextualSpacing w:val="0"/>
              <w:jc w:val="both"/>
              <w:rPr>
                <w:sz w:val="22"/>
                <w:szCs w:val="22"/>
                <w:lang w:val="uk-UA"/>
              </w:rPr>
            </w:pPr>
            <w:r w:rsidRPr="001107EC">
              <w:rPr>
                <w:color w:val="000000" w:themeColor="text1"/>
                <w:sz w:val="22"/>
                <w:szCs w:val="22"/>
                <w:lang w:val="uk-UA"/>
              </w:rPr>
              <w:t>Рішень за наслідками розгляду звіту Наглядової ради Товариства не приймати.</w:t>
            </w:r>
          </w:p>
        </w:tc>
      </w:tr>
      <w:tr w:rsidR="006156DD" w:rsidRPr="001107EC" w14:paraId="197FD5B8" w14:textId="77777777" w:rsidTr="009F20BC">
        <w:tc>
          <w:tcPr>
            <w:tcW w:w="489" w:type="dxa"/>
            <w:vAlign w:val="center"/>
          </w:tcPr>
          <w:p w14:paraId="3D35CAF5" w14:textId="77777777" w:rsidR="006156DD" w:rsidRPr="001107EC" w:rsidRDefault="006156DD" w:rsidP="009F20BC">
            <w:pPr>
              <w:jc w:val="center"/>
              <w:rPr>
                <w:color w:val="000000"/>
                <w:sz w:val="22"/>
                <w:szCs w:val="22"/>
                <w:lang w:val="uk-UA"/>
              </w:rPr>
            </w:pPr>
            <w:r w:rsidRPr="001107EC">
              <w:rPr>
                <w:color w:val="000000" w:themeColor="text1"/>
                <w:sz w:val="22"/>
                <w:szCs w:val="22"/>
                <w:lang w:val="uk-UA"/>
              </w:rPr>
              <w:t>3.</w:t>
            </w:r>
          </w:p>
        </w:tc>
        <w:tc>
          <w:tcPr>
            <w:tcW w:w="2658" w:type="dxa"/>
            <w:vAlign w:val="center"/>
          </w:tcPr>
          <w:p w14:paraId="53B7EF3F" w14:textId="591D560C" w:rsidR="006156DD" w:rsidRPr="001107EC" w:rsidRDefault="006156DD" w:rsidP="007D4C06">
            <w:pPr>
              <w:jc w:val="both"/>
              <w:rPr>
                <w:sz w:val="22"/>
                <w:szCs w:val="22"/>
                <w:lang w:val="uk-UA"/>
              </w:rPr>
            </w:pPr>
            <w:r w:rsidRPr="001107EC">
              <w:rPr>
                <w:color w:val="000000" w:themeColor="text1"/>
                <w:sz w:val="22"/>
                <w:szCs w:val="22"/>
                <w:lang w:val="uk-UA"/>
              </w:rPr>
              <w:t>Затвердження річного звіту Товариства за 2019  та 2020 роки.</w:t>
            </w:r>
          </w:p>
        </w:tc>
        <w:tc>
          <w:tcPr>
            <w:tcW w:w="7047" w:type="dxa"/>
            <w:vAlign w:val="center"/>
          </w:tcPr>
          <w:p w14:paraId="52622059" w14:textId="77777777" w:rsidR="006156DD" w:rsidRPr="001107EC" w:rsidRDefault="006156DD" w:rsidP="006156DD">
            <w:pPr>
              <w:pStyle w:val="a3"/>
              <w:numPr>
                <w:ilvl w:val="1"/>
                <w:numId w:val="3"/>
              </w:numPr>
              <w:ind w:left="432" w:hanging="432"/>
              <w:contextualSpacing w:val="0"/>
              <w:rPr>
                <w:sz w:val="22"/>
                <w:szCs w:val="22"/>
                <w:lang w:val="uk-UA"/>
              </w:rPr>
            </w:pPr>
            <w:r w:rsidRPr="001107EC">
              <w:rPr>
                <w:color w:val="000000" w:themeColor="text1"/>
                <w:sz w:val="22"/>
                <w:szCs w:val="22"/>
                <w:lang w:val="uk-UA"/>
              </w:rPr>
              <w:t xml:space="preserve">Затвердити річний звіт Товариства за 2019  та 2020 роки </w:t>
            </w:r>
            <w:r w:rsidRPr="001107EC">
              <w:rPr>
                <w:color w:val="000000" w:themeColor="text1"/>
                <w:sz w:val="22"/>
                <w:szCs w:val="22"/>
              </w:rPr>
              <w:t xml:space="preserve"> </w:t>
            </w:r>
            <w:r w:rsidRPr="001107EC">
              <w:rPr>
                <w:color w:val="000000" w:themeColor="text1"/>
                <w:sz w:val="22"/>
                <w:szCs w:val="22"/>
                <w:lang w:val="uk-UA"/>
              </w:rPr>
              <w:t>(додається).</w:t>
            </w:r>
          </w:p>
        </w:tc>
      </w:tr>
      <w:tr w:rsidR="006156DD" w:rsidRPr="001107EC" w14:paraId="3731D167" w14:textId="77777777" w:rsidTr="009F20BC">
        <w:tc>
          <w:tcPr>
            <w:tcW w:w="489" w:type="dxa"/>
            <w:vAlign w:val="center"/>
          </w:tcPr>
          <w:p w14:paraId="5836B016" w14:textId="77777777" w:rsidR="006156DD" w:rsidRPr="001107EC" w:rsidRDefault="006156DD" w:rsidP="009F20BC">
            <w:pPr>
              <w:jc w:val="center"/>
              <w:rPr>
                <w:color w:val="000000"/>
                <w:sz w:val="22"/>
                <w:szCs w:val="22"/>
                <w:lang w:val="uk-UA"/>
              </w:rPr>
            </w:pPr>
            <w:r w:rsidRPr="001107EC">
              <w:rPr>
                <w:color w:val="000000" w:themeColor="text1"/>
                <w:sz w:val="22"/>
                <w:szCs w:val="22"/>
                <w:lang w:val="uk-UA"/>
              </w:rPr>
              <w:t>4.</w:t>
            </w:r>
          </w:p>
        </w:tc>
        <w:tc>
          <w:tcPr>
            <w:tcW w:w="2658" w:type="dxa"/>
            <w:vAlign w:val="center"/>
          </w:tcPr>
          <w:p w14:paraId="450E1754" w14:textId="77777777" w:rsidR="006156DD" w:rsidRPr="001107EC" w:rsidRDefault="006156DD" w:rsidP="009F20BC">
            <w:pPr>
              <w:rPr>
                <w:sz w:val="22"/>
                <w:szCs w:val="22"/>
                <w:lang w:val="uk-UA"/>
              </w:rPr>
            </w:pPr>
            <w:r w:rsidRPr="001107EC">
              <w:rPr>
                <w:color w:val="000000" w:themeColor="text1"/>
                <w:sz w:val="22"/>
                <w:szCs w:val="22"/>
                <w:lang w:val="uk-UA"/>
              </w:rPr>
              <w:t>Розподіл прибутку (покриття збитків) за підсумками роботи Товариства у 2019 та 2020 роках. Затвердження розміру дивідендів за підсумками роботи Товариства у 2019  та 2020 роках.</w:t>
            </w:r>
          </w:p>
        </w:tc>
        <w:tc>
          <w:tcPr>
            <w:tcW w:w="7047" w:type="dxa"/>
            <w:vAlign w:val="center"/>
          </w:tcPr>
          <w:p w14:paraId="48A1DB77" w14:textId="77777777" w:rsidR="006156DD" w:rsidRPr="001107EC" w:rsidRDefault="006156DD" w:rsidP="006156DD">
            <w:pPr>
              <w:pStyle w:val="a3"/>
              <w:numPr>
                <w:ilvl w:val="1"/>
                <w:numId w:val="4"/>
              </w:numPr>
              <w:contextualSpacing w:val="0"/>
              <w:jc w:val="both"/>
              <w:rPr>
                <w:sz w:val="22"/>
                <w:szCs w:val="22"/>
                <w:lang w:val="uk-UA"/>
              </w:rPr>
            </w:pPr>
            <w:r w:rsidRPr="001107EC">
              <w:rPr>
                <w:color w:val="000000" w:themeColor="text1"/>
                <w:sz w:val="22"/>
                <w:szCs w:val="22"/>
                <w:lang w:val="uk-UA"/>
              </w:rPr>
              <w:t>Чистий прибуток, отриманий за підсумками роботи Товариства у 2019 році, залишається нерозподіленим (для виконання статутних цілей).</w:t>
            </w:r>
          </w:p>
          <w:p w14:paraId="046D37EE" w14:textId="77777777" w:rsidR="006156DD" w:rsidRPr="001107EC" w:rsidRDefault="006156DD" w:rsidP="006156DD">
            <w:pPr>
              <w:pStyle w:val="a3"/>
              <w:numPr>
                <w:ilvl w:val="1"/>
                <w:numId w:val="4"/>
              </w:numPr>
              <w:contextualSpacing w:val="0"/>
              <w:jc w:val="both"/>
              <w:rPr>
                <w:sz w:val="22"/>
                <w:szCs w:val="22"/>
                <w:lang w:val="uk-UA"/>
              </w:rPr>
            </w:pPr>
            <w:r w:rsidRPr="001107EC">
              <w:rPr>
                <w:color w:val="000000" w:themeColor="text1"/>
                <w:sz w:val="22"/>
                <w:szCs w:val="22"/>
                <w:lang w:val="uk-UA"/>
              </w:rPr>
              <w:t>Нарахування та виплату частини прибутку (дивідендів) за підсумками роботи Товариства у 2019 році не здійснювати.</w:t>
            </w:r>
          </w:p>
          <w:p w14:paraId="6D0754D0" w14:textId="77777777" w:rsidR="006156DD" w:rsidRPr="001107EC" w:rsidRDefault="006156DD" w:rsidP="006156DD">
            <w:pPr>
              <w:pStyle w:val="a3"/>
              <w:numPr>
                <w:ilvl w:val="1"/>
                <w:numId w:val="4"/>
              </w:numPr>
              <w:contextualSpacing w:val="0"/>
              <w:jc w:val="both"/>
              <w:rPr>
                <w:sz w:val="22"/>
                <w:szCs w:val="22"/>
                <w:lang w:val="uk-UA"/>
              </w:rPr>
            </w:pPr>
            <w:r w:rsidRPr="001107EC">
              <w:rPr>
                <w:color w:val="000000" w:themeColor="text1"/>
                <w:sz w:val="22"/>
                <w:szCs w:val="22"/>
                <w:lang w:val="uk-UA"/>
              </w:rPr>
              <w:t xml:space="preserve"> У зв'язку з відсутністю прибутку за підсумками роботи Товариства у 2020  році, розподіл прибутку не затверджувати.</w:t>
            </w:r>
          </w:p>
          <w:p w14:paraId="4D4DA7F9" w14:textId="77777777" w:rsidR="006156DD" w:rsidRPr="001107EC" w:rsidRDefault="006156DD" w:rsidP="006156DD">
            <w:pPr>
              <w:pStyle w:val="a3"/>
              <w:numPr>
                <w:ilvl w:val="1"/>
                <w:numId w:val="4"/>
              </w:numPr>
              <w:contextualSpacing w:val="0"/>
              <w:jc w:val="both"/>
              <w:rPr>
                <w:sz w:val="22"/>
                <w:szCs w:val="22"/>
                <w:lang w:val="uk-UA"/>
              </w:rPr>
            </w:pPr>
            <w:r w:rsidRPr="001107EC">
              <w:rPr>
                <w:color w:val="000000" w:themeColor="text1"/>
                <w:sz w:val="22"/>
                <w:szCs w:val="22"/>
                <w:lang w:val="uk-UA"/>
              </w:rPr>
              <w:t>У зв’язку з відсутністю прибутку за підсумками роботи Товариства у 2020 році, нарахування та виплату частини прибутку (дивідендів) за підсумками роботи Товариства за 2020 рік не здійснювати.</w:t>
            </w:r>
          </w:p>
        </w:tc>
      </w:tr>
    </w:tbl>
    <w:p w14:paraId="0D3B1D02" w14:textId="77777777" w:rsidR="006156DD" w:rsidRPr="001107EC" w:rsidRDefault="006156DD" w:rsidP="006156DD">
      <w:pPr>
        <w:rPr>
          <w:sz w:val="22"/>
          <w:szCs w:val="22"/>
        </w:rPr>
      </w:pPr>
    </w:p>
    <w:p w14:paraId="2D9DCF16" w14:textId="77777777" w:rsidR="003151A2" w:rsidRPr="001107EC" w:rsidRDefault="003151A2" w:rsidP="003151A2">
      <w:pPr>
        <w:spacing w:before="120" w:after="120"/>
        <w:jc w:val="both"/>
        <w:rPr>
          <w:spacing w:val="6"/>
          <w:sz w:val="22"/>
          <w:szCs w:val="22"/>
        </w:rPr>
      </w:pPr>
      <w:r w:rsidRPr="001107EC">
        <w:rPr>
          <w:spacing w:val="6"/>
          <w:sz w:val="22"/>
          <w:szCs w:val="22"/>
        </w:rPr>
        <w:t xml:space="preserve">Перелік акціонерів ПрАТ «ДТЕК ШАХТА КОМСОМОЛЕЦЬ ДОНБАСУ», які мають право на участь у річних Загальних зборах Товариства, призначених на </w:t>
      </w:r>
      <w:r w:rsidRPr="009541B8">
        <w:rPr>
          <w:spacing w:val="6"/>
          <w:sz w:val="22"/>
          <w:szCs w:val="22"/>
          <w:lang w:val="ru-RU"/>
        </w:rPr>
        <w:t>28</w:t>
      </w:r>
      <w:r>
        <w:rPr>
          <w:spacing w:val="6"/>
          <w:sz w:val="22"/>
          <w:szCs w:val="22"/>
          <w:lang w:val="ru-RU"/>
        </w:rPr>
        <w:t xml:space="preserve"> </w:t>
      </w:r>
      <w:r w:rsidRPr="009541B8">
        <w:rPr>
          <w:spacing w:val="6"/>
          <w:sz w:val="22"/>
          <w:szCs w:val="22"/>
        </w:rPr>
        <w:t>травня</w:t>
      </w:r>
      <w:r w:rsidRPr="001107EC">
        <w:rPr>
          <w:spacing w:val="6"/>
          <w:sz w:val="22"/>
          <w:szCs w:val="22"/>
        </w:rPr>
        <w:t xml:space="preserve"> 2021 року, складається станом на 24 годину 2</w:t>
      </w:r>
      <w:r>
        <w:rPr>
          <w:spacing w:val="6"/>
          <w:sz w:val="22"/>
          <w:szCs w:val="22"/>
          <w:lang w:val="ru-RU"/>
        </w:rPr>
        <w:t>4</w:t>
      </w:r>
      <w:r w:rsidRPr="001107EC">
        <w:rPr>
          <w:spacing w:val="6"/>
          <w:sz w:val="22"/>
          <w:szCs w:val="22"/>
        </w:rPr>
        <w:t xml:space="preserve"> </w:t>
      </w:r>
      <w:r w:rsidRPr="009541B8">
        <w:rPr>
          <w:spacing w:val="6"/>
          <w:sz w:val="22"/>
          <w:szCs w:val="22"/>
        </w:rPr>
        <w:t>травня</w:t>
      </w:r>
      <w:r w:rsidRPr="001107EC">
        <w:rPr>
          <w:spacing w:val="6"/>
          <w:sz w:val="22"/>
          <w:szCs w:val="22"/>
        </w:rPr>
        <w:t xml:space="preserve"> 2021 року.</w:t>
      </w:r>
    </w:p>
    <w:p w14:paraId="1A1E42E1" w14:textId="77777777" w:rsidR="003151A2" w:rsidRPr="001107EC" w:rsidRDefault="003151A2" w:rsidP="003151A2">
      <w:pPr>
        <w:spacing w:after="120"/>
        <w:jc w:val="both"/>
        <w:rPr>
          <w:spacing w:val="6"/>
          <w:sz w:val="22"/>
          <w:szCs w:val="22"/>
        </w:rPr>
      </w:pPr>
      <w:r w:rsidRPr="001107EC">
        <w:rPr>
          <w:color w:val="000000"/>
          <w:spacing w:val="6"/>
          <w:sz w:val="22"/>
          <w:szCs w:val="22"/>
        </w:rPr>
        <w:t>Д</w:t>
      </w:r>
      <w:r w:rsidRPr="001107EC">
        <w:rPr>
          <w:spacing w:val="6"/>
          <w:sz w:val="22"/>
          <w:szCs w:val="22"/>
        </w:rPr>
        <w:t xml:space="preserve">ата </w:t>
      </w:r>
      <w:r w:rsidRPr="001107EC">
        <w:rPr>
          <w:color w:val="000000"/>
          <w:spacing w:val="6"/>
          <w:sz w:val="22"/>
          <w:szCs w:val="22"/>
        </w:rPr>
        <w:t xml:space="preserve">складання переліку акціонерів </w:t>
      </w:r>
      <w:r w:rsidRPr="001107EC">
        <w:rPr>
          <w:spacing w:val="6"/>
          <w:sz w:val="22"/>
          <w:szCs w:val="22"/>
        </w:rPr>
        <w:t>ПрАТ «ДТЕК ШАХТА КОМСОМОЛЕЦЬ ДОНБАСУ»</w:t>
      </w:r>
      <w:r w:rsidRPr="001107EC">
        <w:rPr>
          <w:color w:val="000000"/>
          <w:spacing w:val="6"/>
          <w:sz w:val="22"/>
          <w:szCs w:val="22"/>
        </w:rPr>
        <w:t xml:space="preserve"> для здійснення персонального повідомлення про дистанційне проведення </w:t>
      </w:r>
      <w:r w:rsidRPr="009541B8">
        <w:rPr>
          <w:spacing w:val="6"/>
          <w:sz w:val="22"/>
          <w:szCs w:val="22"/>
          <w:lang w:val="ru-RU"/>
        </w:rPr>
        <w:t>28</w:t>
      </w:r>
      <w:r>
        <w:rPr>
          <w:spacing w:val="6"/>
          <w:sz w:val="22"/>
          <w:szCs w:val="22"/>
          <w:lang w:val="ru-RU"/>
        </w:rPr>
        <w:t xml:space="preserve"> </w:t>
      </w:r>
      <w:r w:rsidRPr="009541B8">
        <w:rPr>
          <w:spacing w:val="6"/>
          <w:sz w:val="22"/>
          <w:szCs w:val="22"/>
        </w:rPr>
        <w:t>травня</w:t>
      </w:r>
      <w:r w:rsidRPr="001107EC">
        <w:rPr>
          <w:spacing w:val="6"/>
          <w:sz w:val="22"/>
          <w:szCs w:val="22"/>
        </w:rPr>
        <w:t xml:space="preserve"> 2021 </w:t>
      </w:r>
      <w:r w:rsidRPr="001107EC">
        <w:rPr>
          <w:color w:val="000000"/>
          <w:spacing w:val="6"/>
          <w:sz w:val="22"/>
          <w:szCs w:val="22"/>
        </w:rPr>
        <w:t xml:space="preserve">року річних Загальних зборів Товариства – </w:t>
      </w:r>
      <w:r>
        <w:rPr>
          <w:spacing w:val="6"/>
          <w:sz w:val="22"/>
          <w:szCs w:val="22"/>
          <w:lang w:val="ru-RU"/>
        </w:rPr>
        <w:t xml:space="preserve">23 </w:t>
      </w:r>
      <w:r w:rsidRPr="009541B8">
        <w:rPr>
          <w:spacing w:val="6"/>
          <w:sz w:val="22"/>
          <w:szCs w:val="22"/>
        </w:rPr>
        <w:t>квітня</w:t>
      </w:r>
      <w:r w:rsidRPr="001107EC">
        <w:rPr>
          <w:spacing w:val="6"/>
          <w:sz w:val="22"/>
          <w:szCs w:val="22"/>
        </w:rPr>
        <w:t xml:space="preserve"> 2021 року.</w:t>
      </w:r>
    </w:p>
    <w:p w14:paraId="15F87AF2" w14:textId="77777777" w:rsidR="003151A2" w:rsidRPr="001107EC" w:rsidRDefault="003151A2" w:rsidP="003151A2">
      <w:pPr>
        <w:contextualSpacing/>
        <w:jc w:val="both"/>
        <w:rPr>
          <w:color w:val="000000"/>
          <w:spacing w:val="-6"/>
          <w:sz w:val="22"/>
          <w:szCs w:val="22"/>
        </w:rPr>
      </w:pPr>
      <w:r w:rsidRPr="001107EC">
        <w:rPr>
          <w:color w:val="000000"/>
          <w:spacing w:val="-6"/>
          <w:sz w:val="22"/>
          <w:szCs w:val="22"/>
        </w:rPr>
        <w:t xml:space="preserve">Реєстрація учасників річних Загальних зборів Товариства буде здійснюватися Реєстраційною комісією </w:t>
      </w:r>
      <w:r w:rsidRPr="001107EC">
        <w:rPr>
          <w:spacing w:val="6"/>
          <w:sz w:val="22"/>
          <w:szCs w:val="22"/>
        </w:rPr>
        <w:t xml:space="preserve">ПрАТ «ДТЕК ШАХТА КОМСОМОЛЕЦЬ ДОНБАСУ» </w:t>
      </w:r>
      <w:r w:rsidRPr="001107EC">
        <w:rPr>
          <w:color w:val="000000"/>
          <w:spacing w:val="-6"/>
          <w:sz w:val="22"/>
          <w:szCs w:val="22"/>
        </w:rPr>
        <w:t xml:space="preserve">на підставі документів, отриманих від Центрального депозитарію відповідно до Розділу XIV </w:t>
      </w:r>
      <w:r w:rsidRPr="001107EC">
        <w:rPr>
          <w:sz w:val="22"/>
          <w:szCs w:val="22"/>
        </w:rPr>
        <w:t xml:space="preserve">Тимчасового порядку скликання та дистанційного проведення загальних зборів акціонерів та загальних зборів учасників </w:t>
      </w:r>
      <w:r w:rsidRPr="001107EC">
        <w:rPr>
          <w:sz w:val="22"/>
          <w:szCs w:val="22"/>
        </w:rPr>
        <w:lastRenderedPageBreak/>
        <w:t>корпоративного інвестиційного фонду, затвердженого рішенням НКЦПФР 16 квітня 2020 року № 196 (надалі – «</w:t>
      </w:r>
      <w:r w:rsidRPr="001107EC">
        <w:rPr>
          <w:b/>
          <w:bCs/>
          <w:sz w:val="22"/>
          <w:szCs w:val="22"/>
        </w:rPr>
        <w:t>Порядок</w:t>
      </w:r>
      <w:r w:rsidRPr="001107EC">
        <w:rPr>
          <w:sz w:val="22"/>
          <w:szCs w:val="22"/>
        </w:rPr>
        <w:t>»)</w:t>
      </w:r>
      <w:r w:rsidRPr="001107EC">
        <w:rPr>
          <w:color w:val="000000"/>
          <w:spacing w:val="-6"/>
          <w:sz w:val="22"/>
          <w:szCs w:val="22"/>
        </w:rPr>
        <w:t xml:space="preserve">.  </w:t>
      </w:r>
    </w:p>
    <w:p w14:paraId="78915B25" w14:textId="77777777" w:rsidR="003151A2" w:rsidRPr="001107EC" w:rsidRDefault="003151A2" w:rsidP="003151A2">
      <w:pPr>
        <w:spacing w:after="120"/>
        <w:jc w:val="both"/>
        <w:rPr>
          <w:color w:val="000000"/>
          <w:spacing w:val="-6"/>
          <w:sz w:val="22"/>
          <w:szCs w:val="22"/>
        </w:rPr>
      </w:pPr>
      <w:r w:rsidRPr="001107EC">
        <w:rPr>
          <w:color w:val="000000"/>
          <w:spacing w:val="-6"/>
          <w:sz w:val="22"/>
          <w:szCs w:val="22"/>
        </w:rPr>
        <w:t>Річні Загальні збори Товариства</w:t>
      </w:r>
      <w:r w:rsidRPr="001107EC" w:rsidDel="00A96DD2">
        <w:rPr>
          <w:color w:val="000000"/>
          <w:spacing w:val="-6"/>
          <w:sz w:val="22"/>
          <w:szCs w:val="22"/>
        </w:rPr>
        <w:t xml:space="preserve"> </w:t>
      </w:r>
      <w:r w:rsidRPr="001107EC">
        <w:rPr>
          <w:color w:val="000000"/>
          <w:spacing w:val="-6"/>
          <w:sz w:val="22"/>
          <w:szCs w:val="22"/>
        </w:rPr>
        <w:t>відбудуться у відповідності до вимог Закону України «Про акціонерні товариства», Порядку, Регламенту провадження депозитарної діяльності Центрального депозитарію цінних паперів та Статуту Товариства.</w:t>
      </w:r>
    </w:p>
    <w:p w14:paraId="7B629459" w14:textId="77777777" w:rsidR="003151A2" w:rsidRPr="001107EC" w:rsidRDefault="003151A2" w:rsidP="003151A2">
      <w:pPr>
        <w:spacing w:after="120"/>
        <w:jc w:val="both"/>
        <w:rPr>
          <w:spacing w:val="-6"/>
          <w:sz w:val="22"/>
          <w:szCs w:val="22"/>
        </w:rPr>
      </w:pPr>
      <w:r w:rsidRPr="001107EC">
        <w:rPr>
          <w:spacing w:val="-6"/>
          <w:sz w:val="22"/>
          <w:szCs w:val="22"/>
        </w:rPr>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p>
    <w:p w14:paraId="0FE2088E" w14:textId="77777777" w:rsidR="003151A2" w:rsidRPr="001107EC" w:rsidRDefault="003151A2" w:rsidP="003151A2">
      <w:pPr>
        <w:spacing w:after="120"/>
        <w:jc w:val="both"/>
        <w:rPr>
          <w:spacing w:val="6"/>
          <w:sz w:val="22"/>
          <w:szCs w:val="22"/>
        </w:rPr>
      </w:pPr>
      <w:r w:rsidRPr="001107EC">
        <w:rPr>
          <w:color w:val="000000"/>
          <w:spacing w:val="-6"/>
          <w:sz w:val="22"/>
          <w:szCs w:val="22"/>
        </w:rPr>
        <w:t>Акціонери Товариства та їх представники можуть ознайомитися на веб-сайті Товариства в розділі «Загальні збори акціонерів» \ «Повідомлення» (</w:t>
      </w:r>
      <w:hyperlink r:id="rId7" w:history="1">
        <w:r w:rsidRPr="001107EC">
          <w:rPr>
            <w:rStyle w:val="a6"/>
            <w:spacing w:val="-6"/>
            <w:sz w:val="22"/>
            <w:szCs w:val="22"/>
          </w:rPr>
          <w:t>https://dtek.com/investors_and_partners/asset/komsomolec/</w:t>
        </w:r>
      </w:hyperlink>
      <w:r w:rsidRPr="001107EC">
        <w:rPr>
          <w:color w:val="000000"/>
          <w:spacing w:val="-6"/>
          <w:sz w:val="22"/>
          <w:szCs w:val="22"/>
        </w:rPr>
        <w:t xml:space="preserve">) з проектами рішень щодо кожного питання порядку денного річних Загальних зборів Товариства, з інформацією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та з переліком документів, що має надати акціонер для його участі у річних Загальних зборах, скликаних на </w:t>
      </w:r>
      <w:r>
        <w:rPr>
          <w:sz w:val="22"/>
          <w:szCs w:val="22"/>
        </w:rPr>
        <w:t>28 травня</w:t>
      </w:r>
      <w:r w:rsidRPr="001107EC">
        <w:rPr>
          <w:sz w:val="22"/>
          <w:szCs w:val="22"/>
        </w:rPr>
        <w:t xml:space="preserve"> 2021 року</w:t>
      </w:r>
      <w:r w:rsidRPr="001107EC">
        <w:rPr>
          <w:color w:val="000000"/>
          <w:spacing w:val="-6"/>
          <w:sz w:val="22"/>
          <w:szCs w:val="22"/>
        </w:rPr>
        <w:t>.</w:t>
      </w:r>
    </w:p>
    <w:p w14:paraId="6D6EEA8D" w14:textId="77777777" w:rsidR="003151A2" w:rsidRPr="001107EC" w:rsidRDefault="003151A2" w:rsidP="003151A2">
      <w:pPr>
        <w:spacing w:after="120"/>
        <w:jc w:val="both"/>
        <w:rPr>
          <w:color w:val="000000"/>
          <w:sz w:val="22"/>
          <w:szCs w:val="22"/>
        </w:rPr>
      </w:pPr>
      <w:r w:rsidRPr="001107EC">
        <w:rPr>
          <w:color w:val="000000"/>
          <w:spacing w:val="-6"/>
          <w:sz w:val="22"/>
          <w:szCs w:val="22"/>
        </w:rPr>
        <w:t xml:space="preserve">Окрім цього, до дати дистанційного проведення Загальних зборів акціонери Товариства (їх представники) мають право безкоштовно ознайомитись з документами (інформацією), необхідними для прийняття рішень з питань порядку денного річних Загальних зборів, або задати питання щодо порядку денного. Відповідний запит акціонера (представника)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і направлений на ім’я посадової особи Товариства, </w:t>
      </w:r>
      <w:r w:rsidRPr="001107EC">
        <w:rPr>
          <w:color w:val="000000"/>
          <w:sz w:val="22"/>
          <w:szCs w:val="22"/>
        </w:rPr>
        <w:t xml:space="preserve">відповідальної за порядок ознайомлення акціонерів з документами. Посадовою особою </w:t>
      </w:r>
      <w:r w:rsidRPr="001107EC">
        <w:rPr>
          <w:spacing w:val="6"/>
          <w:sz w:val="22"/>
          <w:szCs w:val="22"/>
        </w:rPr>
        <w:t>ПрАТ «ДТЕК ШАХТА КОМСОМОЛЕЦЬ ДОНБАСУ»</w:t>
      </w:r>
      <w:r w:rsidRPr="001107EC">
        <w:rPr>
          <w:color w:val="000000"/>
          <w:sz w:val="22"/>
          <w:szCs w:val="22"/>
        </w:rPr>
        <w:t xml:space="preserve">, відповідальною за порядок ознайомлення акціонерів з документами, є Директор Товариства Гончарук А.А., контактний номер: </w:t>
      </w:r>
      <w:proofErr w:type="spellStart"/>
      <w:r w:rsidRPr="001107EC">
        <w:rPr>
          <w:color w:val="000000"/>
          <w:spacing w:val="6"/>
          <w:sz w:val="22"/>
          <w:szCs w:val="22"/>
        </w:rPr>
        <w:t>т</w:t>
      </w:r>
      <w:r w:rsidRPr="001107EC">
        <w:rPr>
          <w:spacing w:val="6"/>
          <w:sz w:val="22"/>
          <w:szCs w:val="22"/>
        </w:rPr>
        <w:t>ел</w:t>
      </w:r>
      <w:proofErr w:type="spellEnd"/>
      <w:r w:rsidRPr="001107EC">
        <w:rPr>
          <w:spacing w:val="6"/>
          <w:sz w:val="22"/>
          <w:szCs w:val="22"/>
        </w:rPr>
        <w:t>.</w:t>
      </w:r>
      <w:r w:rsidRPr="001107EC">
        <w:rPr>
          <w:color w:val="000000"/>
          <w:spacing w:val="6"/>
          <w:sz w:val="22"/>
          <w:szCs w:val="22"/>
        </w:rPr>
        <w:t xml:space="preserve">: </w:t>
      </w:r>
      <w:r w:rsidRPr="001107EC">
        <w:rPr>
          <w:color w:val="000000"/>
          <w:spacing w:val="6"/>
          <w:sz w:val="22"/>
          <w:szCs w:val="22"/>
          <w:lang w:val="ru-RU"/>
        </w:rPr>
        <w:t>(</w:t>
      </w:r>
      <w:r w:rsidRPr="001107EC">
        <w:rPr>
          <w:spacing w:val="6"/>
          <w:sz w:val="22"/>
          <w:szCs w:val="22"/>
        </w:rPr>
        <w:t>044</w:t>
      </w:r>
      <w:r w:rsidRPr="001107EC">
        <w:rPr>
          <w:spacing w:val="6"/>
          <w:sz w:val="22"/>
          <w:szCs w:val="22"/>
          <w:lang w:val="ru-RU"/>
        </w:rPr>
        <w:t xml:space="preserve">) </w:t>
      </w:r>
      <w:r w:rsidRPr="001107EC">
        <w:rPr>
          <w:spacing w:val="6"/>
          <w:sz w:val="22"/>
          <w:szCs w:val="22"/>
        </w:rPr>
        <w:t>594-42-41.</w:t>
      </w:r>
    </w:p>
    <w:p w14:paraId="5329218D" w14:textId="77777777" w:rsidR="003151A2" w:rsidRPr="001107EC" w:rsidRDefault="003151A2" w:rsidP="003151A2">
      <w:pPr>
        <w:spacing w:after="120"/>
        <w:jc w:val="both"/>
        <w:rPr>
          <w:color w:val="000000"/>
          <w:spacing w:val="-6"/>
          <w:sz w:val="22"/>
          <w:szCs w:val="22"/>
        </w:rPr>
      </w:pPr>
      <w:r w:rsidRPr="001107EC">
        <w:rPr>
          <w:color w:val="000000"/>
          <w:spacing w:val="-6"/>
          <w:sz w:val="22"/>
          <w:szCs w:val="22"/>
        </w:rPr>
        <w:t>Товариство до дати дистанційного проведення річних Загальних зборів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6BF901A6" w14:textId="77777777" w:rsidR="003151A2" w:rsidRPr="00F955AA" w:rsidRDefault="003151A2" w:rsidP="003151A2">
      <w:pPr>
        <w:spacing w:after="120"/>
        <w:jc w:val="both"/>
        <w:rPr>
          <w:spacing w:val="-6"/>
          <w:sz w:val="22"/>
          <w:szCs w:val="22"/>
        </w:rPr>
      </w:pPr>
      <w:r w:rsidRPr="00F955AA">
        <w:rPr>
          <w:spacing w:val="-6"/>
          <w:sz w:val="22"/>
          <w:szCs w:val="22"/>
        </w:rPr>
        <w:t xml:space="preserve">Кожний акціонер має право робити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та з дотриманням вимог, передбачених розділом XII Порядку.  </w:t>
      </w:r>
    </w:p>
    <w:p w14:paraId="4AC13EEE" w14:textId="77777777" w:rsidR="003151A2" w:rsidRPr="00F955AA" w:rsidRDefault="003151A2" w:rsidP="003151A2">
      <w:pPr>
        <w:spacing w:after="120"/>
        <w:jc w:val="both"/>
        <w:rPr>
          <w:spacing w:val="-6"/>
          <w:sz w:val="22"/>
          <w:szCs w:val="22"/>
        </w:rPr>
      </w:pPr>
      <w:r w:rsidRPr="00F955AA">
        <w:rPr>
          <w:color w:val="000000"/>
          <w:sz w:val="22"/>
          <w:szCs w:val="22"/>
        </w:rPr>
        <w:t xml:space="preserve">Адреса електронної пошти для запитів акціонера (його представників) щодо ознайомлення з матеріалами під час підготовки до загальних зборів та/або запитань щодо порядку денного загальних зборів та/або пропозицій до порядку денного загальних зборів та проектів рішень: </w:t>
      </w:r>
      <w:hyperlink r:id="rId8" w:history="1">
        <w:r w:rsidRPr="00F955AA">
          <w:rPr>
            <w:rStyle w:val="a6"/>
            <w:sz w:val="22"/>
            <w:szCs w:val="22"/>
            <w:lang w:val="en-US"/>
          </w:rPr>
          <w:t>PikuzOI</w:t>
        </w:r>
        <w:r w:rsidRPr="00F955AA">
          <w:rPr>
            <w:rStyle w:val="a6"/>
            <w:sz w:val="22"/>
            <w:szCs w:val="22"/>
          </w:rPr>
          <w:t>@dtek.com</w:t>
        </w:r>
      </w:hyperlink>
      <w:r w:rsidRPr="00F955AA">
        <w:rPr>
          <w:color w:val="000000"/>
          <w:sz w:val="22"/>
          <w:szCs w:val="22"/>
          <w:lang w:val="ru-RU"/>
        </w:rPr>
        <w:t xml:space="preserve"> </w:t>
      </w:r>
      <w:r w:rsidRPr="00F955AA">
        <w:rPr>
          <w:color w:val="000000"/>
          <w:sz w:val="22"/>
          <w:szCs w:val="22"/>
        </w:rPr>
        <w:t>та</w:t>
      </w:r>
      <w:r w:rsidRPr="00F955AA">
        <w:rPr>
          <w:color w:val="000000"/>
          <w:sz w:val="22"/>
          <w:szCs w:val="22"/>
          <w:lang w:val="ru-RU"/>
        </w:rPr>
        <w:t xml:space="preserve"> </w:t>
      </w:r>
      <w:hyperlink r:id="rId9" w:history="1">
        <w:r w:rsidRPr="00F955AA">
          <w:rPr>
            <w:rStyle w:val="a6"/>
            <w:sz w:val="22"/>
            <w:szCs w:val="22"/>
            <w:lang w:val="en-US"/>
          </w:rPr>
          <w:t>LozkoAY</w:t>
        </w:r>
        <w:r w:rsidRPr="00F955AA">
          <w:rPr>
            <w:rStyle w:val="a6"/>
            <w:sz w:val="22"/>
            <w:szCs w:val="22"/>
            <w:lang w:val="ru-RU"/>
          </w:rPr>
          <w:t>@</w:t>
        </w:r>
        <w:r w:rsidRPr="00F955AA">
          <w:rPr>
            <w:rStyle w:val="a6"/>
            <w:sz w:val="22"/>
            <w:szCs w:val="22"/>
            <w:lang w:val="en-US"/>
          </w:rPr>
          <w:t>dtek</w:t>
        </w:r>
        <w:r w:rsidRPr="00F955AA">
          <w:rPr>
            <w:rStyle w:val="a6"/>
            <w:sz w:val="22"/>
            <w:szCs w:val="22"/>
            <w:lang w:val="ru-RU"/>
          </w:rPr>
          <w:t>.</w:t>
        </w:r>
        <w:r w:rsidRPr="00F955AA">
          <w:rPr>
            <w:rStyle w:val="a6"/>
            <w:sz w:val="22"/>
            <w:szCs w:val="22"/>
            <w:lang w:val="en-US"/>
          </w:rPr>
          <w:t>com</w:t>
        </w:r>
      </w:hyperlink>
      <w:r w:rsidRPr="00F955AA">
        <w:rPr>
          <w:color w:val="000000"/>
          <w:sz w:val="22"/>
          <w:szCs w:val="22"/>
        </w:rPr>
        <w:t>.</w:t>
      </w:r>
    </w:p>
    <w:p w14:paraId="72981397" w14:textId="77777777" w:rsidR="003151A2" w:rsidRPr="00F955AA" w:rsidRDefault="003151A2" w:rsidP="003151A2">
      <w:pPr>
        <w:spacing w:after="120"/>
        <w:jc w:val="both"/>
        <w:rPr>
          <w:spacing w:val="-6"/>
          <w:sz w:val="22"/>
          <w:szCs w:val="22"/>
        </w:rPr>
      </w:pPr>
      <w:r w:rsidRPr="00F955AA">
        <w:rPr>
          <w:color w:val="000000"/>
          <w:sz w:val="22"/>
          <w:szCs w:val="22"/>
        </w:rPr>
        <w:t xml:space="preserve">Порядок участі та голосування акціонерів особисто </w:t>
      </w:r>
      <w:r w:rsidRPr="00F955AA">
        <w:rPr>
          <w:color w:val="000000"/>
          <w:sz w:val="22"/>
          <w:szCs w:val="22"/>
          <w:lang w:val="ru-RU"/>
        </w:rPr>
        <w:t>(</w:t>
      </w:r>
      <w:r w:rsidRPr="00F955AA">
        <w:rPr>
          <w:color w:val="000000"/>
          <w:sz w:val="22"/>
          <w:szCs w:val="22"/>
        </w:rPr>
        <w:t>їх представників за довіреністю</w:t>
      </w:r>
      <w:r w:rsidRPr="00F955AA">
        <w:rPr>
          <w:color w:val="000000"/>
          <w:sz w:val="22"/>
          <w:szCs w:val="22"/>
          <w:lang w:val="ru-RU"/>
        </w:rPr>
        <w:t xml:space="preserve">) </w:t>
      </w:r>
      <w:r w:rsidRPr="00F955AA">
        <w:rPr>
          <w:color w:val="000000"/>
          <w:sz w:val="22"/>
          <w:szCs w:val="22"/>
        </w:rPr>
        <w:t xml:space="preserve">на річних Загальних зборах, що проводяться дистанційно, визначається відповідно до Розділів </w:t>
      </w:r>
      <w:r w:rsidRPr="00F955AA">
        <w:rPr>
          <w:color w:val="000000"/>
          <w:spacing w:val="-6"/>
          <w:sz w:val="22"/>
          <w:szCs w:val="22"/>
        </w:rPr>
        <w:t>XIII,</w:t>
      </w:r>
      <w:r w:rsidRPr="00F955AA">
        <w:rPr>
          <w:color w:val="000000"/>
          <w:sz w:val="22"/>
          <w:szCs w:val="22"/>
        </w:rPr>
        <w:t xml:space="preserve"> XV та </w:t>
      </w:r>
      <w:r w:rsidRPr="00F955AA">
        <w:rPr>
          <w:color w:val="000000"/>
          <w:sz w:val="22"/>
          <w:szCs w:val="22"/>
          <w:lang w:val="en-US"/>
        </w:rPr>
        <w:t>XVII</w:t>
      </w:r>
      <w:r w:rsidRPr="00F955AA">
        <w:rPr>
          <w:color w:val="000000"/>
          <w:sz w:val="22"/>
          <w:szCs w:val="22"/>
        </w:rPr>
        <w:t xml:space="preserve"> Порядку. </w:t>
      </w:r>
    </w:p>
    <w:p w14:paraId="4F346D9C" w14:textId="77777777" w:rsidR="003151A2" w:rsidRPr="00F955AA" w:rsidRDefault="003151A2" w:rsidP="003151A2">
      <w:pPr>
        <w:spacing w:after="120"/>
        <w:jc w:val="both"/>
        <w:rPr>
          <w:color w:val="000000"/>
          <w:spacing w:val="-6"/>
          <w:sz w:val="22"/>
          <w:szCs w:val="22"/>
        </w:rPr>
      </w:pPr>
      <w:r w:rsidRPr="00F955AA">
        <w:rPr>
          <w:color w:val="000000"/>
          <w:spacing w:val="-6"/>
          <w:sz w:val="22"/>
          <w:szCs w:val="22"/>
        </w:rPr>
        <w:t xml:space="preserve">Для реєстрації акціонерів (їх представників) для участі у річних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на якому обліковуються належні такому акціонеру акції Товариства. Разом з бюлетенем для голосування акціонеру (представнику акціонера) необхідно надати депозитарній установі паспорт (засвідчену належним чином паперову або електронну копію паспорта),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паперову або електронну копію такого документу).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 </w:t>
      </w:r>
    </w:p>
    <w:p w14:paraId="295DC6ED" w14:textId="77777777" w:rsidR="003151A2" w:rsidRPr="00F955AA" w:rsidRDefault="003151A2" w:rsidP="003151A2">
      <w:pPr>
        <w:widowControl w:val="0"/>
        <w:pBdr>
          <w:top w:val="nil"/>
          <w:left w:val="nil"/>
          <w:bottom w:val="nil"/>
          <w:right w:val="nil"/>
          <w:between w:val="nil"/>
        </w:pBdr>
        <w:tabs>
          <w:tab w:val="left" w:pos="993"/>
        </w:tabs>
        <w:spacing w:after="120"/>
        <w:jc w:val="both"/>
        <w:rPr>
          <w:color w:val="000000"/>
          <w:sz w:val="22"/>
          <w:szCs w:val="22"/>
        </w:rPr>
      </w:pPr>
      <w:r w:rsidRPr="00F955AA">
        <w:rPr>
          <w:color w:val="000000"/>
          <w:sz w:val="22"/>
          <w:szCs w:val="22"/>
        </w:rPr>
        <w:t>Голосування на Загальних зборах з питань порядку денного проводиться виключно з використанням бюлетенів.</w:t>
      </w:r>
    </w:p>
    <w:p w14:paraId="0DA52FFE" w14:textId="77777777" w:rsidR="003151A2" w:rsidRPr="00F955AA" w:rsidRDefault="003151A2" w:rsidP="003151A2">
      <w:pPr>
        <w:spacing w:after="120"/>
        <w:jc w:val="both"/>
        <w:rPr>
          <w:spacing w:val="6"/>
          <w:sz w:val="22"/>
          <w:szCs w:val="22"/>
        </w:rPr>
      </w:pPr>
      <w:r w:rsidRPr="00F955AA">
        <w:rPr>
          <w:spacing w:val="-6"/>
          <w:sz w:val="22"/>
          <w:szCs w:val="22"/>
        </w:rPr>
        <w:lastRenderedPageBreak/>
        <w:t>Товариство розміщує затверджений бюлетень для голосування на річних Загальних зборах у вільному для акціонерів доступі на власному веб-сайті</w:t>
      </w:r>
      <w:r w:rsidRPr="00F955AA">
        <w:rPr>
          <w:spacing w:val="-6"/>
          <w:sz w:val="22"/>
          <w:szCs w:val="22"/>
          <w:lang w:val="ru-RU"/>
        </w:rPr>
        <w:t xml:space="preserve"> </w:t>
      </w:r>
      <w:r w:rsidRPr="00F955AA">
        <w:rPr>
          <w:spacing w:val="-6"/>
          <w:sz w:val="22"/>
          <w:szCs w:val="22"/>
        </w:rPr>
        <w:t xml:space="preserve">Товариства </w:t>
      </w:r>
      <w:r w:rsidRPr="00F955AA">
        <w:rPr>
          <w:color w:val="000000"/>
          <w:spacing w:val="-6"/>
          <w:sz w:val="22"/>
          <w:szCs w:val="22"/>
        </w:rPr>
        <w:t xml:space="preserve">в розділі </w:t>
      </w:r>
      <w:r w:rsidRPr="009A5C08">
        <w:rPr>
          <w:color w:val="000000"/>
          <w:spacing w:val="-6"/>
          <w:sz w:val="22"/>
          <w:szCs w:val="22"/>
        </w:rPr>
        <w:t>«</w:t>
      </w:r>
      <w:r w:rsidRPr="009A5C08">
        <w:rPr>
          <w:b/>
          <w:bCs/>
          <w:color w:val="000000"/>
          <w:spacing w:val="-6"/>
          <w:sz w:val="22"/>
          <w:szCs w:val="22"/>
        </w:rPr>
        <w:t>Повідомлення»</w:t>
      </w:r>
      <w:r w:rsidRPr="009A5C08">
        <w:rPr>
          <w:color w:val="000000"/>
          <w:spacing w:val="-6"/>
          <w:sz w:val="22"/>
          <w:szCs w:val="22"/>
        </w:rPr>
        <w:t xml:space="preserve"> </w:t>
      </w:r>
      <w:r w:rsidRPr="00F955AA">
        <w:rPr>
          <w:color w:val="000000"/>
          <w:spacing w:val="-6"/>
          <w:sz w:val="22"/>
          <w:szCs w:val="22"/>
        </w:rPr>
        <w:t>(</w:t>
      </w:r>
      <w:hyperlink r:id="rId10" w:history="1">
        <w:hyperlink r:id="rId11" w:history="1">
          <w:r w:rsidRPr="00F955AA">
            <w:rPr>
              <w:rStyle w:val="a6"/>
              <w:spacing w:val="-6"/>
              <w:sz w:val="22"/>
              <w:szCs w:val="22"/>
            </w:rPr>
            <w:t>https://dtek.com/investors_and_partners/asset/komsomolec/</w:t>
          </w:r>
        </w:hyperlink>
        <w:r w:rsidRPr="00F955AA">
          <w:rPr>
            <w:rStyle w:val="a6"/>
            <w:b/>
            <w:spacing w:val="6"/>
            <w:sz w:val="22"/>
            <w:szCs w:val="22"/>
          </w:rPr>
          <w:t>/</w:t>
        </w:r>
      </w:hyperlink>
      <w:hyperlink r:id="rId12" w:history="1"/>
      <w:r w:rsidRPr="00F955AA">
        <w:rPr>
          <w:color w:val="000000"/>
          <w:spacing w:val="-6"/>
          <w:sz w:val="22"/>
          <w:szCs w:val="22"/>
        </w:rPr>
        <w:t xml:space="preserve">). Дата розміщення бюлетенів для голосування - </w:t>
      </w:r>
      <w:r w:rsidRPr="00F955AA">
        <w:rPr>
          <w:sz w:val="22"/>
          <w:szCs w:val="22"/>
        </w:rPr>
        <w:t>2</w:t>
      </w:r>
      <w:r w:rsidRPr="00F955AA">
        <w:rPr>
          <w:sz w:val="22"/>
          <w:szCs w:val="22"/>
          <w:lang w:val="ru-RU"/>
        </w:rPr>
        <w:t>5</w:t>
      </w:r>
      <w:r w:rsidRPr="00F955AA">
        <w:rPr>
          <w:sz w:val="22"/>
          <w:szCs w:val="22"/>
        </w:rPr>
        <w:t xml:space="preserve"> </w:t>
      </w:r>
      <w:r w:rsidRPr="009A5C08">
        <w:rPr>
          <w:sz w:val="22"/>
          <w:szCs w:val="22"/>
        </w:rPr>
        <w:t>травня</w:t>
      </w:r>
      <w:r w:rsidRPr="00F955AA">
        <w:rPr>
          <w:sz w:val="22"/>
          <w:szCs w:val="22"/>
        </w:rPr>
        <w:t xml:space="preserve"> 2021</w:t>
      </w:r>
      <w:r w:rsidRPr="00F955AA">
        <w:rPr>
          <w:color w:val="000000"/>
          <w:spacing w:val="-6"/>
          <w:sz w:val="22"/>
          <w:szCs w:val="22"/>
        </w:rPr>
        <w:t xml:space="preserve"> року.</w:t>
      </w:r>
    </w:p>
    <w:p w14:paraId="152ED81A" w14:textId="77777777" w:rsidR="003151A2" w:rsidRPr="001107EC" w:rsidRDefault="003151A2" w:rsidP="003151A2">
      <w:pPr>
        <w:spacing w:after="120"/>
        <w:jc w:val="both"/>
        <w:rPr>
          <w:color w:val="000000"/>
          <w:spacing w:val="-6"/>
          <w:sz w:val="22"/>
          <w:szCs w:val="22"/>
        </w:rPr>
      </w:pPr>
      <w:r w:rsidRPr="001107EC">
        <w:rPr>
          <w:color w:val="000000"/>
          <w:sz w:val="22"/>
          <w:szCs w:val="22"/>
          <w:lang w:val="ru-RU"/>
        </w:rPr>
        <w:t>Моментом</w:t>
      </w:r>
      <w:r w:rsidRPr="001107EC">
        <w:rPr>
          <w:color w:val="000000"/>
          <w:sz w:val="22"/>
          <w:szCs w:val="22"/>
        </w:rPr>
        <w:t xml:space="preserve"> початку голосування акціонерів є 09-00 год. дати розміщення Товариством бюлетенів для голосування у вільному для акціонерів доступі. Моментом закінчення голосування акціонерів є 18- 00  год. дати проведення загальних зборів (дати завершення голосування). Бюлетень, отриманий депозитарною установою після завершення часу, відведеного на голосування, вважається таким, що не подавався.</w:t>
      </w:r>
    </w:p>
    <w:p w14:paraId="41251318" w14:textId="77777777" w:rsidR="003151A2" w:rsidRPr="001107EC" w:rsidRDefault="003151A2" w:rsidP="003151A2">
      <w:pPr>
        <w:widowControl w:val="0"/>
        <w:pBdr>
          <w:top w:val="nil"/>
          <w:left w:val="nil"/>
          <w:bottom w:val="nil"/>
          <w:right w:val="nil"/>
          <w:between w:val="nil"/>
        </w:pBdr>
        <w:tabs>
          <w:tab w:val="left" w:pos="993"/>
        </w:tabs>
        <w:contextualSpacing/>
        <w:jc w:val="both"/>
        <w:rPr>
          <w:color w:val="000000"/>
          <w:sz w:val="22"/>
          <w:szCs w:val="22"/>
        </w:rPr>
      </w:pPr>
      <w:r w:rsidRPr="001107EC">
        <w:rPr>
          <w:color w:val="000000"/>
          <w:sz w:val="22"/>
          <w:szCs w:val="22"/>
        </w:rPr>
        <w:t xml:space="preserve">Бюлетень для голосування на річних Загальних зборах Товариства повинен бути засвідченим одним з наступних способів (за вибором акціонера): </w:t>
      </w:r>
    </w:p>
    <w:p w14:paraId="465A5BA8" w14:textId="77777777" w:rsidR="003151A2" w:rsidRPr="001107EC" w:rsidRDefault="003151A2" w:rsidP="003151A2">
      <w:pPr>
        <w:widowControl w:val="0"/>
        <w:numPr>
          <w:ilvl w:val="0"/>
          <w:numId w:val="5"/>
        </w:numPr>
        <w:pBdr>
          <w:top w:val="nil"/>
          <w:left w:val="nil"/>
          <w:bottom w:val="nil"/>
          <w:right w:val="nil"/>
          <w:between w:val="nil"/>
        </w:pBdr>
        <w:tabs>
          <w:tab w:val="left" w:pos="993"/>
        </w:tabs>
        <w:ind w:left="0" w:firstLine="567"/>
        <w:contextualSpacing/>
        <w:jc w:val="both"/>
        <w:rPr>
          <w:color w:val="000000"/>
          <w:sz w:val="22"/>
          <w:szCs w:val="22"/>
        </w:rPr>
      </w:pPr>
      <w:r w:rsidRPr="001107EC">
        <w:rPr>
          <w:color w:val="000000"/>
          <w:sz w:val="22"/>
          <w:szCs w:val="22"/>
        </w:rPr>
        <w:t>за допомогою кваліфікованого електронного підпису акціонера (його представника);</w:t>
      </w:r>
    </w:p>
    <w:p w14:paraId="137B1101" w14:textId="77777777" w:rsidR="003151A2" w:rsidRPr="001107EC" w:rsidRDefault="003151A2" w:rsidP="003151A2">
      <w:pPr>
        <w:widowControl w:val="0"/>
        <w:numPr>
          <w:ilvl w:val="0"/>
          <w:numId w:val="5"/>
        </w:numPr>
        <w:pBdr>
          <w:top w:val="nil"/>
          <w:left w:val="nil"/>
          <w:bottom w:val="nil"/>
          <w:right w:val="nil"/>
          <w:between w:val="nil"/>
        </w:pBdr>
        <w:tabs>
          <w:tab w:val="left" w:pos="993"/>
        </w:tabs>
        <w:ind w:left="0" w:firstLine="567"/>
        <w:contextualSpacing/>
        <w:jc w:val="both"/>
        <w:rPr>
          <w:color w:val="000000"/>
          <w:sz w:val="22"/>
          <w:szCs w:val="22"/>
        </w:rPr>
      </w:pPr>
      <w:r w:rsidRPr="001107EC">
        <w:rPr>
          <w:color w:val="000000"/>
          <w:sz w:val="22"/>
          <w:szCs w:val="22"/>
        </w:rPr>
        <w:t>нотаріально, за умови підписання бюлетеня в присутності нотаріуса або посадової особи, яка вчиняє нотаріальні дії;</w:t>
      </w:r>
    </w:p>
    <w:p w14:paraId="73480616" w14:textId="77777777" w:rsidR="003151A2" w:rsidRPr="001107EC" w:rsidRDefault="003151A2" w:rsidP="003151A2">
      <w:pPr>
        <w:widowControl w:val="0"/>
        <w:numPr>
          <w:ilvl w:val="0"/>
          <w:numId w:val="5"/>
        </w:numPr>
        <w:pBdr>
          <w:top w:val="nil"/>
          <w:left w:val="nil"/>
          <w:bottom w:val="nil"/>
          <w:right w:val="nil"/>
          <w:between w:val="nil"/>
        </w:pBdr>
        <w:tabs>
          <w:tab w:val="left" w:pos="993"/>
        </w:tabs>
        <w:spacing w:after="120"/>
        <w:ind w:left="0" w:firstLine="567"/>
        <w:jc w:val="both"/>
        <w:rPr>
          <w:color w:val="000000"/>
          <w:sz w:val="22"/>
          <w:szCs w:val="22"/>
        </w:rPr>
      </w:pPr>
      <w:r w:rsidRPr="001107EC">
        <w:rPr>
          <w:color w:val="000000"/>
          <w:sz w:val="22"/>
          <w:szCs w:val="22"/>
        </w:rPr>
        <w:t>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2D1E7912" w14:textId="77777777" w:rsidR="003151A2" w:rsidRPr="001107EC" w:rsidRDefault="003151A2" w:rsidP="003151A2">
      <w:pPr>
        <w:spacing w:after="120"/>
        <w:jc w:val="both"/>
        <w:rPr>
          <w:color w:val="000000"/>
          <w:sz w:val="22"/>
          <w:szCs w:val="22"/>
        </w:rPr>
      </w:pPr>
      <w:r w:rsidRPr="001107EC">
        <w:rPr>
          <w:spacing w:val="-6"/>
          <w:sz w:val="22"/>
          <w:szCs w:val="22"/>
        </w:rPr>
        <w:t>Особам</w:t>
      </w:r>
      <w:r w:rsidRPr="001107EC">
        <w:rPr>
          <w:color w:val="000000"/>
          <w:sz w:val="22"/>
          <w:szCs w:val="22"/>
        </w:rPr>
        <w:t xml:space="preserve">, яким рахунок в цінних паперах відкрито депозитарною установою на підставі договору з </w:t>
      </w:r>
      <w:r w:rsidRPr="001107EC">
        <w:rPr>
          <w:color w:val="000000"/>
          <w:spacing w:val="-6"/>
          <w:sz w:val="22"/>
          <w:szCs w:val="22"/>
        </w:rPr>
        <w:t>емітентом</w:t>
      </w:r>
      <w:r w:rsidRPr="001107EC">
        <w:rPr>
          <w:color w:val="000000"/>
          <w:sz w:val="22"/>
          <w:szCs w:val="22"/>
        </w:rPr>
        <w:t xml:space="preserve">, для забезпечення реалізації права на участь у дистанційних річних Загальних зборах необхідно укласти договір з депозитарними установами самостійно. </w:t>
      </w:r>
    </w:p>
    <w:p w14:paraId="051783C8" w14:textId="03796892" w:rsidR="003151A2" w:rsidRDefault="003151A2" w:rsidP="003151A2">
      <w:pPr>
        <w:spacing w:after="120"/>
        <w:contextualSpacing/>
        <w:jc w:val="both"/>
        <w:rPr>
          <w:spacing w:val="-6"/>
          <w:sz w:val="22"/>
          <w:szCs w:val="22"/>
        </w:rPr>
      </w:pPr>
      <w:r w:rsidRPr="001107EC">
        <w:rPr>
          <w:spacing w:val="-6"/>
          <w:sz w:val="22"/>
          <w:szCs w:val="22"/>
        </w:rPr>
        <w:t xml:space="preserve">Загальна кількість акцій Товариства складає </w:t>
      </w:r>
      <w:r w:rsidRPr="001107EC">
        <w:rPr>
          <w:spacing w:val="6"/>
          <w:sz w:val="22"/>
          <w:szCs w:val="22"/>
          <w:lang w:val="ru-RU"/>
        </w:rPr>
        <w:t>334 879 267</w:t>
      </w:r>
      <w:r w:rsidRPr="001107EC">
        <w:rPr>
          <w:sz w:val="22"/>
          <w:szCs w:val="22"/>
        </w:rPr>
        <w:t xml:space="preserve"> шт.</w:t>
      </w:r>
      <w:r w:rsidRPr="001107EC">
        <w:rPr>
          <w:spacing w:val="-6"/>
          <w:sz w:val="22"/>
          <w:szCs w:val="22"/>
        </w:rPr>
        <w:t>,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w:t>
      </w:r>
      <w:r>
        <w:rPr>
          <w:spacing w:val="-6"/>
          <w:sz w:val="22"/>
          <w:szCs w:val="22"/>
          <w:lang w:val="ru-RU"/>
        </w:rPr>
        <w:t xml:space="preserve"> </w:t>
      </w:r>
      <w:r w:rsidRPr="003151A2">
        <w:rPr>
          <w:spacing w:val="-6"/>
          <w:sz w:val="22"/>
          <w:szCs w:val="22"/>
        </w:rPr>
        <w:t>331 994 259</w:t>
      </w:r>
      <w:r w:rsidRPr="001107EC">
        <w:rPr>
          <w:spacing w:val="-6"/>
          <w:sz w:val="22"/>
          <w:szCs w:val="22"/>
        </w:rPr>
        <w:t> шт.</w:t>
      </w:r>
    </w:p>
    <w:p w14:paraId="722733C5" w14:textId="77777777" w:rsidR="003151A2" w:rsidRPr="001107EC" w:rsidRDefault="003151A2" w:rsidP="003151A2">
      <w:pPr>
        <w:spacing w:after="120"/>
        <w:contextualSpacing/>
        <w:jc w:val="both"/>
        <w:rPr>
          <w:spacing w:val="-6"/>
          <w:sz w:val="22"/>
          <w:szCs w:val="22"/>
        </w:rPr>
      </w:pPr>
    </w:p>
    <w:p w14:paraId="64F9FB89" w14:textId="77777777" w:rsidR="003151A2" w:rsidRPr="001107EC" w:rsidRDefault="003151A2" w:rsidP="003151A2">
      <w:pPr>
        <w:spacing w:before="240"/>
        <w:jc w:val="center"/>
        <w:rPr>
          <w:b/>
          <w:bCs/>
          <w:spacing w:val="6"/>
          <w:sz w:val="22"/>
          <w:szCs w:val="22"/>
          <w:lang w:val="ru-RU"/>
        </w:rPr>
      </w:pPr>
      <w:r w:rsidRPr="001107EC">
        <w:rPr>
          <w:b/>
          <w:bCs/>
          <w:spacing w:val="6"/>
          <w:sz w:val="22"/>
          <w:szCs w:val="22"/>
        </w:rPr>
        <w:t>Основні показники фінансово – господарської діяльності</w:t>
      </w:r>
      <w:r w:rsidRPr="001107EC">
        <w:rPr>
          <w:b/>
          <w:bCs/>
          <w:spacing w:val="6"/>
          <w:sz w:val="22"/>
          <w:szCs w:val="22"/>
          <w:lang w:val="ru-RU"/>
        </w:rPr>
        <w:t xml:space="preserve"> </w:t>
      </w:r>
    </w:p>
    <w:p w14:paraId="6533910E" w14:textId="77777777" w:rsidR="003151A2" w:rsidRPr="001107EC" w:rsidRDefault="003151A2" w:rsidP="003151A2">
      <w:pPr>
        <w:spacing w:after="120"/>
        <w:jc w:val="center"/>
        <w:rPr>
          <w:b/>
          <w:bCs/>
          <w:spacing w:val="6"/>
          <w:sz w:val="22"/>
          <w:szCs w:val="22"/>
          <w:lang w:val="ru-RU"/>
        </w:rPr>
      </w:pPr>
      <w:r w:rsidRPr="001107EC">
        <w:rPr>
          <w:b/>
          <w:bCs/>
          <w:spacing w:val="6"/>
          <w:sz w:val="22"/>
          <w:szCs w:val="22"/>
        </w:rPr>
        <w:t>ПрАТ «ДТЕК ШАХТА КОМСОМОЛЕЦЬ ДОНБАСУ»</w:t>
      </w:r>
      <w:r w:rsidRPr="001107EC">
        <w:rPr>
          <w:b/>
          <w:bCs/>
          <w:spacing w:val="6"/>
          <w:sz w:val="22"/>
          <w:szCs w:val="22"/>
          <w:lang w:val="ru-RU"/>
        </w:rPr>
        <w:t xml:space="preserve"> (тис. грн.)</w:t>
      </w:r>
    </w:p>
    <w:tbl>
      <w:tblPr>
        <w:tblW w:w="9628" w:type="dxa"/>
        <w:tblLook w:val="04A0" w:firstRow="1" w:lastRow="0" w:firstColumn="1" w:lastColumn="0" w:noHBand="0" w:noVBand="1"/>
      </w:tblPr>
      <w:tblGrid>
        <w:gridCol w:w="4026"/>
        <w:gridCol w:w="1597"/>
        <w:gridCol w:w="1893"/>
        <w:gridCol w:w="2112"/>
      </w:tblGrid>
      <w:tr w:rsidR="003151A2" w:rsidRPr="001107EC" w14:paraId="2D86CFDD" w14:textId="77777777" w:rsidTr="008E066C">
        <w:trPr>
          <w:trHeight w:val="289"/>
        </w:trPr>
        <w:tc>
          <w:tcPr>
            <w:tcW w:w="40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0C192" w14:textId="77777777" w:rsidR="003151A2" w:rsidRPr="001107EC" w:rsidRDefault="003151A2" w:rsidP="008E066C">
            <w:pPr>
              <w:rPr>
                <w:b/>
                <w:color w:val="000000"/>
                <w:sz w:val="22"/>
                <w:szCs w:val="22"/>
              </w:rPr>
            </w:pPr>
            <w:r w:rsidRPr="001107EC">
              <w:rPr>
                <w:b/>
                <w:color w:val="000000"/>
                <w:sz w:val="22"/>
                <w:szCs w:val="22"/>
              </w:rPr>
              <w:t>Найменування показника</w:t>
            </w:r>
          </w:p>
        </w:tc>
        <w:tc>
          <w:tcPr>
            <w:tcW w:w="5602" w:type="dxa"/>
            <w:gridSpan w:val="3"/>
            <w:tcBorders>
              <w:top w:val="single" w:sz="4" w:space="0" w:color="auto"/>
              <w:left w:val="nil"/>
              <w:bottom w:val="single" w:sz="4" w:space="0" w:color="auto"/>
              <w:right w:val="single" w:sz="4" w:space="0" w:color="auto"/>
            </w:tcBorders>
            <w:shd w:val="clear" w:color="auto" w:fill="FFFFFF" w:themeFill="background1"/>
          </w:tcPr>
          <w:p w14:paraId="631EBEB3" w14:textId="77777777" w:rsidR="003151A2" w:rsidRPr="001107EC" w:rsidRDefault="003151A2" w:rsidP="008E066C">
            <w:pPr>
              <w:jc w:val="center"/>
              <w:rPr>
                <w:b/>
                <w:color w:val="000000"/>
                <w:sz w:val="22"/>
                <w:szCs w:val="22"/>
              </w:rPr>
            </w:pPr>
            <w:r w:rsidRPr="001107EC">
              <w:rPr>
                <w:b/>
                <w:color w:val="000000"/>
                <w:sz w:val="22"/>
                <w:szCs w:val="22"/>
              </w:rPr>
              <w:t>Період</w:t>
            </w:r>
          </w:p>
        </w:tc>
      </w:tr>
      <w:tr w:rsidR="003151A2" w:rsidRPr="001107EC" w14:paraId="51E5B952" w14:textId="77777777" w:rsidTr="008E066C">
        <w:trPr>
          <w:trHeight w:val="585"/>
        </w:trPr>
        <w:tc>
          <w:tcPr>
            <w:tcW w:w="40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12E46" w14:textId="77777777" w:rsidR="003151A2" w:rsidRPr="001107EC" w:rsidRDefault="003151A2" w:rsidP="008E066C">
            <w:pPr>
              <w:rPr>
                <w:b/>
                <w:color w:val="000000"/>
                <w:sz w:val="22"/>
                <w:szCs w:val="22"/>
              </w:rPr>
            </w:pPr>
          </w:p>
        </w:tc>
        <w:tc>
          <w:tcPr>
            <w:tcW w:w="1597" w:type="dxa"/>
            <w:tcBorders>
              <w:top w:val="single" w:sz="4" w:space="0" w:color="auto"/>
              <w:left w:val="nil"/>
              <w:bottom w:val="single" w:sz="4" w:space="0" w:color="auto"/>
              <w:right w:val="single" w:sz="4" w:space="0" w:color="auto"/>
            </w:tcBorders>
            <w:shd w:val="clear" w:color="auto" w:fill="FFFFFF" w:themeFill="background1"/>
            <w:vAlign w:val="center"/>
          </w:tcPr>
          <w:p w14:paraId="04B8F6DE" w14:textId="77777777" w:rsidR="003151A2" w:rsidRPr="001107EC" w:rsidRDefault="003151A2" w:rsidP="008E066C">
            <w:pPr>
              <w:jc w:val="center"/>
              <w:rPr>
                <w:b/>
                <w:color w:val="000000"/>
                <w:sz w:val="22"/>
                <w:szCs w:val="22"/>
              </w:rPr>
            </w:pPr>
            <w:r w:rsidRPr="001107EC">
              <w:rPr>
                <w:b/>
                <w:color w:val="000000"/>
                <w:sz w:val="22"/>
                <w:szCs w:val="22"/>
              </w:rPr>
              <w:t>звітний  2020</w:t>
            </w:r>
          </w:p>
        </w:tc>
        <w:tc>
          <w:tcPr>
            <w:tcW w:w="189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E36868" w14:textId="77777777" w:rsidR="003151A2" w:rsidRPr="001107EC" w:rsidRDefault="003151A2" w:rsidP="008E066C">
            <w:pPr>
              <w:jc w:val="center"/>
              <w:rPr>
                <w:b/>
                <w:color w:val="000000"/>
                <w:sz w:val="22"/>
                <w:szCs w:val="22"/>
              </w:rPr>
            </w:pPr>
            <w:r w:rsidRPr="001107EC">
              <w:rPr>
                <w:b/>
                <w:color w:val="000000"/>
                <w:sz w:val="22"/>
                <w:szCs w:val="22"/>
              </w:rPr>
              <w:t>звітний  2019</w:t>
            </w:r>
          </w:p>
        </w:tc>
        <w:tc>
          <w:tcPr>
            <w:tcW w:w="2112" w:type="dxa"/>
            <w:tcBorders>
              <w:top w:val="nil"/>
              <w:left w:val="nil"/>
              <w:bottom w:val="single" w:sz="4" w:space="0" w:color="auto"/>
              <w:right w:val="single" w:sz="4" w:space="0" w:color="auto"/>
            </w:tcBorders>
            <w:shd w:val="clear" w:color="auto" w:fill="FFFFFF" w:themeFill="background1"/>
            <w:vAlign w:val="center"/>
            <w:hideMark/>
          </w:tcPr>
          <w:p w14:paraId="1D293BBE" w14:textId="77777777" w:rsidR="003151A2" w:rsidRPr="001107EC" w:rsidRDefault="003151A2" w:rsidP="008E066C">
            <w:pPr>
              <w:jc w:val="center"/>
              <w:rPr>
                <w:b/>
                <w:color w:val="000000"/>
                <w:sz w:val="22"/>
                <w:szCs w:val="22"/>
              </w:rPr>
            </w:pPr>
            <w:r w:rsidRPr="001107EC">
              <w:rPr>
                <w:b/>
                <w:color w:val="000000"/>
                <w:sz w:val="22"/>
                <w:szCs w:val="22"/>
              </w:rPr>
              <w:t>попередній 2018</w:t>
            </w:r>
          </w:p>
        </w:tc>
      </w:tr>
      <w:tr w:rsidR="003151A2" w:rsidRPr="00967101" w14:paraId="7B615928" w14:textId="77777777" w:rsidTr="008E066C">
        <w:trPr>
          <w:trHeight w:val="555"/>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75035BB2" w14:textId="77777777" w:rsidR="003151A2" w:rsidRPr="00967101" w:rsidRDefault="003151A2" w:rsidP="008E066C">
            <w:pPr>
              <w:rPr>
                <w:color w:val="000000"/>
                <w:sz w:val="22"/>
                <w:szCs w:val="22"/>
              </w:rPr>
            </w:pPr>
            <w:r w:rsidRPr="00967101">
              <w:rPr>
                <w:color w:val="000000"/>
                <w:sz w:val="22"/>
                <w:szCs w:val="22"/>
              </w:rPr>
              <w:t>Усього активів</w:t>
            </w:r>
          </w:p>
        </w:tc>
        <w:tc>
          <w:tcPr>
            <w:tcW w:w="1597" w:type="dxa"/>
            <w:tcBorders>
              <w:top w:val="single" w:sz="4" w:space="0" w:color="auto"/>
              <w:left w:val="nil"/>
              <w:bottom w:val="single" w:sz="4" w:space="0" w:color="auto"/>
              <w:right w:val="single" w:sz="4" w:space="0" w:color="auto"/>
            </w:tcBorders>
            <w:vAlign w:val="center"/>
          </w:tcPr>
          <w:p w14:paraId="1CE1C4DC" w14:textId="77777777" w:rsidR="003151A2" w:rsidRPr="00967101" w:rsidRDefault="003151A2" w:rsidP="008E066C">
            <w:pPr>
              <w:jc w:val="center"/>
              <w:rPr>
                <w:color w:val="000000"/>
                <w:sz w:val="22"/>
                <w:szCs w:val="22"/>
              </w:rPr>
            </w:pPr>
            <w:r w:rsidRPr="00967101">
              <w:rPr>
                <w:color w:val="000000"/>
                <w:sz w:val="22"/>
                <w:szCs w:val="22"/>
              </w:rPr>
              <w:t>1</w:t>
            </w:r>
            <w:r w:rsidRPr="00967101">
              <w:rPr>
                <w:color w:val="000000"/>
                <w:sz w:val="22"/>
                <w:szCs w:val="22"/>
                <w:lang w:val="ru-RU"/>
              </w:rPr>
              <w:t xml:space="preserve"> </w:t>
            </w:r>
            <w:r w:rsidRPr="00967101">
              <w:rPr>
                <w:color w:val="000000"/>
                <w:sz w:val="22"/>
                <w:szCs w:val="22"/>
              </w:rPr>
              <w:t>470</w:t>
            </w:r>
            <w:r w:rsidRPr="00967101">
              <w:rPr>
                <w:color w:val="000000"/>
                <w:sz w:val="22"/>
                <w:szCs w:val="22"/>
                <w:lang w:val="ru-RU"/>
              </w:rPr>
              <w:t xml:space="preserve"> </w:t>
            </w:r>
            <w:r w:rsidRPr="00967101">
              <w:rPr>
                <w:color w:val="000000"/>
                <w:sz w:val="22"/>
                <w:szCs w:val="22"/>
              </w:rPr>
              <w:t>517</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1C49F5E1" w14:textId="77777777" w:rsidR="003151A2" w:rsidRPr="00967101" w:rsidRDefault="003151A2" w:rsidP="008E066C">
            <w:pPr>
              <w:jc w:val="center"/>
              <w:rPr>
                <w:color w:val="000000"/>
                <w:sz w:val="22"/>
                <w:szCs w:val="22"/>
              </w:rPr>
            </w:pPr>
            <w:r w:rsidRPr="00967101">
              <w:rPr>
                <w:color w:val="000000"/>
                <w:sz w:val="22"/>
                <w:szCs w:val="22"/>
              </w:rPr>
              <w:t>1 809 803</w:t>
            </w:r>
          </w:p>
        </w:tc>
        <w:tc>
          <w:tcPr>
            <w:tcW w:w="2112" w:type="dxa"/>
            <w:tcBorders>
              <w:top w:val="nil"/>
              <w:left w:val="nil"/>
              <w:bottom w:val="single" w:sz="4" w:space="0" w:color="auto"/>
              <w:right w:val="single" w:sz="4" w:space="0" w:color="auto"/>
            </w:tcBorders>
            <w:shd w:val="clear" w:color="auto" w:fill="auto"/>
            <w:vAlign w:val="center"/>
            <w:hideMark/>
          </w:tcPr>
          <w:p w14:paraId="5C6A76ED" w14:textId="77777777" w:rsidR="003151A2" w:rsidRPr="00967101" w:rsidRDefault="003151A2" w:rsidP="008E066C">
            <w:pPr>
              <w:jc w:val="center"/>
              <w:rPr>
                <w:color w:val="000000"/>
                <w:sz w:val="22"/>
                <w:szCs w:val="22"/>
              </w:rPr>
            </w:pPr>
            <w:r w:rsidRPr="00967101">
              <w:rPr>
                <w:color w:val="000000"/>
                <w:sz w:val="22"/>
                <w:szCs w:val="22"/>
              </w:rPr>
              <w:t>1 772 839</w:t>
            </w:r>
          </w:p>
        </w:tc>
      </w:tr>
      <w:tr w:rsidR="003151A2" w:rsidRPr="00967101" w14:paraId="774E9FB3" w14:textId="77777777" w:rsidTr="008E066C">
        <w:trPr>
          <w:trHeight w:val="555"/>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60A6456C" w14:textId="77777777" w:rsidR="003151A2" w:rsidRPr="00967101" w:rsidRDefault="003151A2" w:rsidP="008E066C">
            <w:pPr>
              <w:rPr>
                <w:color w:val="000000"/>
                <w:sz w:val="22"/>
                <w:szCs w:val="22"/>
              </w:rPr>
            </w:pPr>
            <w:r w:rsidRPr="00967101">
              <w:rPr>
                <w:color w:val="000000"/>
                <w:sz w:val="22"/>
                <w:szCs w:val="22"/>
              </w:rPr>
              <w:t>Основні засоби (за залишковою вартістю)</w:t>
            </w:r>
          </w:p>
        </w:tc>
        <w:tc>
          <w:tcPr>
            <w:tcW w:w="1597" w:type="dxa"/>
            <w:tcBorders>
              <w:top w:val="single" w:sz="4" w:space="0" w:color="auto"/>
              <w:left w:val="nil"/>
              <w:bottom w:val="single" w:sz="4" w:space="0" w:color="auto"/>
              <w:right w:val="single" w:sz="4" w:space="0" w:color="auto"/>
            </w:tcBorders>
            <w:vAlign w:val="center"/>
          </w:tcPr>
          <w:p w14:paraId="65C21DAB" w14:textId="77777777" w:rsidR="003151A2" w:rsidRPr="00967101" w:rsidRDefault="003151A2" w:rsidP="008E066C">
            <w:pPr>
              <w:jc w:val="center"/>
              <w:rPr>
                <w:color w:val="000000"/>
                <w:sz w:val="22"/>
                <w:szCs w:val="22"/>
                <w:lang w:val="en-US"/>
              </w:rPr>
            </w:pPr>
            <w:r w:rsidRPr="00967101">
              <w:rPr>
                <w:color w:val="000000"/>
                <w:sz w:val="22"/>
                <w:szCs w:val="22"/>
                <w:lang w:val="en-US"/>
              </w:rPr>
              <w:t>0</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62F9165D" w14:textId="77777777" w:rsidR="003151A2" w:rsidRPr="00967101" w:rsidRDefault="003151A2" w:rsidP="008E066C">
            <w:pPr>
              <w:jc w:val="center"/>
              <w:rPr>
                <w:color w:val="000000"/>
                <w:sz w:val="22"/>
                <w:szCs w:val="22"/>
              </w:rPr>
            </w:pPr>
            <w:r w:rsidRPr="00967101">
              <w:rPr>
                <w:color w:val="000000"/>
                <w:sz w:val="22"/>
                <w:szCs w:val="22"/>
              </w:rPr>
              <w:t>0</w:t>
            </w:r>
          </w:p>
        </w:tc>
        <w:tc>
          <w:tcPr>
            <w:tcW w:w="2112" w:type="dxa"/>
            <w:tcBorders>
              <w:top w:val="nil"/>
              <w:left w:val="nil"/>
              <w:bottom w:val="single" w:sz="4" w:space="0" w:color="auto"/>
              <w:right w:val="single" w:sz="4" w:space="0" w:color="auto"/>
            </w:tcBorders>
            <w:shd w:val="clear" w:color="auto" w:fill="auto"/>
            <w:vAlign w:val="center"/>
            <w:hideMark/>
          </w:tcPr>
          <w:p w14:paraId="08DBE78C" w14:textId="77777777" w:rsidR="003151A2" w:rsidRPr="00967101" w:rsidRDefault="003151A2" w:rsidP="008E066C">
            <w:pPr>
              <w:jc w:val="center"/>
              <w:rPr>
                <w:color w:val="000000"/>
                <w:sz w:val="22"/>
                <w:szCs w:val="22"/>
              </w:rPr>
            </w:pPr>
            <w:r w:rsidRPr="00967101">
              <w:rPr>
                <w:color w:val="000000"/>
                <w:sz w:val="22"/>
                <w:szCs w:val="22"/>
              </w:rPr>
              <w:t>0</w:t>
            </w:r>
          </w:p>
        </w:tc>
      </w:tr>
      <w:tr w:rsidR="003151A2" w:rsidRPr="00967101" w14:paraId="256F98E0" w14:textId="77777777" w:rsidTr="008E066C">
        <w:trPr>
          <w:trHeight w:val="555"/>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1E519EEC" w14:textId="77777777" w:rsidR="003151A2" w:rsidRPr="00967101" w:rsidRDefault="003151A2" w:rsidP="008E066C">
            <w:pPr>
              <w:rPr>
                <w:color w:val="000000"/>
                <w:sz w:val="22"/>
                <w:szCs w:val="22"/>
              </w:rPr>
            </w:pPr>
            <w:r w:rsidRPr="00967101">
              <w:rPr>
                <w:color w:val="000000"/>
                <w:sz w:val="22"/>
                <w:szCs w:val="22"/>
              </w:rPr>
              <w:t>Запаси</w:t>
            </w:r>
          </w:p>
        </w:tc>
        <w:tc>
          <w:tcPr>
            <w:tcW w:w="1597" w:type="dxa"/>
            <w:tcBorders>
              <w:top w:val="single" w:sz="4" w:space="0" w:color="auto"/>
              <w:left w:val="nil"/>
              <w:bottom w:val="single" w:sz="4" w:space="0" w:color="auto"/>
              <w:right w:val="single" w:sz="4" w:space="0" w:color="auto"/>
            </w:tcBorders>
            <w:vAlign w:val="center"/>
          </w:tcPr>
          <w:p w14:paraId="3C4A982E" w14:textId="77777777" w:rsidR="003151A2" w:rsidRPr="00967101" w:rsidRDefault="003151A2" w:rsidP="008E066C">
            <w:pPr>
              <w:jc w:val="center"/>
              <w:rPr>
                <w:color w:val="000000"/>
                <w:sz w:val="22"/>
                <w:szCs w:val="22"/>
                <w:lang w:val="en-US"/>
              </w:rPr>
            </w:pPr>
            <w:r w:rsidRPr="00967101">
              <w:rPr>
                <w:color w:val="000000"/>
                <w:sz w:val="22"/>
                <w:szCs w:val="22"/>
                <w:lang w:val="en-US"/>
              </w:rPr>
              <w:t>0</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14BCEB63" w14:textId="77777777" w:rsidR="003151A2" w:rsidRPr="00967101" w:rsidRDefault="003151A2" w:rsidP="008E066C">
            <w:pPr>
              <w:jc w:val="center"/>
              <w:rPr>
                <w:color w:val="000000"/>
                <w:sz w:val="22"/>
                <w:szCs w:val="22"/>
              </w:rPr>
            </w:pPr>
            <w:r w:rsidRPr="00967101">
              <w:rPr>
                <w:color w:val="000000"/>
                <w:sz w:val="22"/>
                <w:szCs w:val="22"/>
              </w:rPr>
              <w:t>4 038</w:t>
            </w:r>
          </w:p>
        </w:tc>
        <w:tc>
          <w:tcPr>
            <w:tcW w:w="2112" w:type="dxa"/>
            <w:tcBorders>
              <w:top w:val="nil"/>
              <w:left w:val="nil"/>
              <w:bottom w:val="single" w:sz="4" w:space="0" w:color="auto"/>
              <w:right w:val="single" w:sz="4" w:space="0" w:color="auto"/>
            </w:tcBorders>
            <w:shd w:val="clear" w:color="auto" w:fill="auto"/>
            <w:vAlign w:val="center"/>
            <w:hideMark/>
          </w:tcPr>
          <w:p w14:paraId="2E9F042A" w14:textId="77777777" w:rsidR="003151A2" w:rsidRPr="00967101" w:rsidRDefault="003151A2" w:rsidP="008E066C">
            <w:pPr>
              <w:jc w:val="center"/>
              <w:rPr>
                <w:color w:val="000000"/>
                <w:sz w:val="22"/>
                <w:szCs w:val="22"/>
              </w:rPr>
            </w:pPr>
            <w:r w:rsidRPr="00967101">
              <w:rPr>
                <w:color w:val="000000"/>
                <w:sz w:val="22"/>
                <w:szCs w:val="22"/>
              </w:rPr>
              <w:t>12 300</w:t>
            </w:r>
          </w:p>
        </w:tc>
      </w:tr>
      <w:tr w:rsidR="003151A2" w:rsidRPr="00967101" w14:paraId="08E6446F" w14:textId="77777777" w:rsidTr="008E066C">
        <w:trPr>
          <w:trHeight w:val="555"/>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5488624" w14:textId="77777777" w:rsidR="003151A2" w:rsidRPr="00967101" w:rsidRDefault="003151A2" w:rsidP="008E066C">
            <w:pPr>
              <w:rPr>
                <w:color w:val="000000"/>
                <w:sz w:val="22"/>
                <w:szCs w:val="22"/>
              </w:rPr>
            </w:pPr>
            <w:r w:rsidRPr="00967101">
              <w:rPr>
                <w:color w:val="000000"/>
                <w:sz w:val="22"/>
                <w:szCs w:val="22"/>
              </w:rPr>
              <w:t>Сумарна дебіторська заборгованість</w:t>
            </w:r>
          </w:p>
        </w:tc>
        <w:tc>
          <w:tcPr>
            <w:tcW w:w="1597" w:type="dxa"/>
            <w:tcBorders>
              <w:top w:val="single" w:sz="4" w:space="0" w:color="auto"/>
              <w:left w:val="nil"/>
              <w:bottom w:val="single" w:sz="4" w:space="0" w:color="auto"/>
              <w:right w:val="single" w:sz="4" w:space="0" w:color="auto"/>
            </w:tcBorders>
            <w:vAlign w:val="center"/>
          </w:tcPr>
          <w:p w14:paraId="0A4EF8D6" w14:textId="77777777" w:rsidR="003151A2" w:rsidRPr="00967101" w:rsidRDefault="003151A2" w:rsidP="008E066C">
            <w:pPr>
              <w:jc w:val="center"/>
              <w:rPr>
                <w:color w:val="000000"/>
                <w:sz w:val="22"/>
                <w:szCs w:val="22"/>
              </w:rPr>
            </w:pPr>
            <w:r w:rsidRPr="00967101">
              <w:rPr>
                <w:color w:val="000000"/>
                <w:sz w:val="22"/>
                <w:szCs w:val="22"/>
              </w:rPr>
              <w:t>1</w:t>
            </w:r>
            <w:r w:rsidRPr="00967101">
              <w:rPr>
                <w:color w:val="000000"/>
                <w:sz w:val="22"/>
                <w:szCs w:val="22"/>
                <w:lang w:val="ru-RU"/>
              </w:rPr>
              <w:t> </w:t>
            </w:r>
            <w:r w:rsidRPr="00967101">
              <w:rPr>
                <w:color w:val="000000"/>
                <w:sz w:val="22"/>
                <w:szCs w:val="22"/>
              </w:rPr>
              <w:t>440</w:t>
            </w:r>
            <w:r w:rsidRPr="00967101">
              <w:rPr>
                <w:color w:val="000000"/>
                <w:sz w:val="22"/>
                <w:szCs w:val="22"/>
                <w:lang w:val="ru-RU"/>
              </w:rPr>
              <w:t xml:space="preserve"> </w:t>
            </w:r>
            <w:r w:rsidRPr="00967101">
              <w:rPr>
                <w:color w:val="000000"/>
                <w:sz w:val="22"/>
                <w:szCs w:val="22"/>
              </w:rPr>
              <w:t>197</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12ACD07C" w14:textId="77777777" w:rsidR="003151A2" w:rsidRPr="00967101" w:rsidRDefault="003151A2" w:rsidP="008E066C">
            <w:pPr>
              <w:jc w:val="center"/>
              <w:rPr>
                <w:color w:val="000000"/>
                <w:sz w:val="22"/>
                <w:szCs w:val="22"/>
              </w:rPr>
            </w:pPr>
            <w:r w:rsidRPr="00967101">
              <w:rPr>
                <w:color w:val="000000"/>
                <w:sz w:val="22"/>
                <w:szCs w:val="22"/>
              </w:rPr>
              <w:t>1 773 251</w:t>
            </w:r>
          </w:p>
        </w:tc>
        <w:tc>
          <w:tcPr>
            <w:tcW w:w="2112" w:type="dxa"/>
            <w:tcBorders>
              <w:top w:val="nil"/>
              <w:left w:val="nil"/>
              <w:bottom w:val="single" w:sz="4" w:space="0" w:color="auto"/>
              <w:right w:val="single" w:sz="4" w:space="0" w:color="auto"/>
            </w:tcBorders>
            <w:shd w:val="clear" w:color="auto" w:fill="auto"/>
            <w:vAlign w:val="center"/>
            <w:hideMark/>
          </w:tcPr>
          <w:p w14:paraId="0AC6D501" w14:textId="77777777" w:rsidR="003151A2" w:rsidRPr="00967101" w:rsidRDefault="003151A2" w:rsidP="008E066C">
            <w:pPr>
              <w:jc w:val="center"/>
              <w:rPr>
                <w:color w:val="000000"/>
                <w:sz w:val="22"/>
                <w:szCs w:val="22"/>
              </w:rPr>
            </w:pPr>
            <w:r w:rsidRPr="00967101">
              <w:rPr>
                <w:color w:val="000000"/>
                <w:sz w:val="22"/>
                <w:szCs w:val="22"/>
              </w:rPr>
              <w:t>1 732 274</w:t>
            </w:r>
          </w:p>
        </w:tc>
      </w:tr>
      <w:tr w:rsidR="003151A2" w:rsidRPr="00967101" w14:paraId="75F9C612" w14:textId="77777777" w:rsidTr="008E066C">
        <w:trPr>
          <w:trHeight w:val="555"/>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04DC0B3A" w14:textId="77777777" w:rsidR="003151A2" w:rsidRPr="00967101" w:rsidRDefault="003151A2" w:rsidP="008E066C">
            <w:pPr>
              <w:rPr>
                <w:color w:val="000000"/>
                <w:sz w:val="22"/>
                <w:szCs w:val="22"/>
              </w:rPr>
            </w:pPr>
            <w:r w:rsidRPr="00967101">
              <w:rPr>
                <w:color w:val="000000"/>
                <w:sz w:val="22"/>
                <w:szCs w:val="22"/>
              </w:rPr>
              <w:t>Гроші та їх еквіваленти</w:t>
            </w:r>
          </w:p>
        </w:tc>
        <w:tc>
          <w:tcPr>
            <w:tcW w:w="1597" w:type="dxa"/>
            <w:tcBorders>
              <w:top w:val="single" w:sz="4" w:space="0" w:color="auto"/>
              <w:left w:val="nil"/>
              <w:bottom w:val="single" w:sz="4" w:space="0" w:color="auto"/>
              <w:right w:val="single" w:sz="4" w:space="0" w:color="auto"/>
            </w:tcBorders>
            <w:vAlign w:val="center"/>
          </w:tcPr>
          <w:p w14:paraId="08A76CB1" w14:textId="77777777" w:rsidR="003151A2" w:rsidRPr="00967101" w:rsidRDefault="003151A2" w:rsidP="008E066C">
            <w:pPr>
              <w:jc w:val="center"/>
              <w:rPr>
                <w:color w:val="000000"/>
                <w:sz w:val="22"/>
                <w:szCs w:val="22"/>
                <w:lang w:val="en-US"/>
              </w:rPr>
            </w:pPr>
            <w:r w:rsidRPr="00967101">
              <w:rPr>
                <w:color w:val="000000"/>
                <w:sz w:val="22"/>
                <w:szCs w:val="22"/>
                <w:lang w:val="en-US"/>
              </w:rPr>
              <w:t>409</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1A0173C2" w14:textId="77777777" w:rsidR="003151A2" w:rsidRPr="00967101" w:rsidRDefault="003151A2" w:rsidP="008E066C">
            <w:pPr>
              <w:jc w:val="center"/>
              <w:rPr>
                <w:color w:val="000000"/>
                <w:sz w:val="22"/>
                <w:szCs w:val="22"/>
              </w:rPr>
            </w:pPr>
            <w:r w:rsidRPr="00967101">
              <w:rPr>
                <w:color w:val="000000"/>
                <w:sz w:val="22"/>
                <w:szCs w:val="22"/>
              </w:rPr>
              <w:t>4</w:t>
            </w:r>
          </w:p>
        </w:tc>
        <w:tc>
          <w:tcPr>
            <w:tcW w:w="2112" w:type="dxa"/>
            <w:tcBorders>
              <w:top w:val="nil"/>
              <w:left w:val="nil"/>
              <w:bottom w:val="single" w:sz="4" w:space="0" w:color="auto"/>
              <w:right w:val="single" w:sz="4" w:space="0" w:color="auto"/>
            </w:tcBorders>
            <w:shd w:val="clear" w:color="auto" w:fill="auto"/>
            <w:vAlign w:val="center"/>
            <w:hideMark/>
          </w:tcPr>
          <w:p w14:paraId="44C28875" w14:textId="77777777" w:rsidR="003151A2" w:rsidRPr="00967101" w:rsidRDefault="003151A2" w:rsidP="008E066C">
            <w:pPr>
              <w:jc w:val="center"/>
              <w:rPr>
                <w:color w:val="000000"/>
                <w:sz w:val="22"/>
                <w:szCs w:val="22"/>
              </w:rPr>
            </w:pPr>
            <w:r w:rsidRPr="00967101">
              <w:rPr>
                <w:color w:val="000000"/>
                <w:sz w:val="22"/>
                <w:szCs w:val="22"/>
              </w:rPr>
              <w:t>4</w:t>
            </w:r>
          </w:p>
        </w:tc>
      </w:tr>
      <w:tr w:rsidR="003151A2" w:rsidRPr="00967101" w14:paraId="4A8C6A03" w14:textId="77777777" w:rsidTr="008E066C">
        <w:trPr>
          <w:trHeight w:val="555"/>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0A308B04" w14:textId="77777777" w:rsidR="003151A2" w:rsidRPr="00967101" w:rsidRDefault="003151A2" w:rsidP="008E066C">
            <w:pPr>
              <w:rPr>
                <w:color w:val="000000"/>
                <w:sz w:val="22"/>
                <w:szCs w:val="22"/>
              </w:rPr>
            </w:pPr>
            <w:r w:rsidRPr="00967101">
              <w:rPr>
                <w:color w:val="000000"/>
                <w:sz w:val="22"/>
                <w:szCs w:val="22"/>
              </w:rPr>
              <w:t>Нерозподілений прибуток (непокритий збиток)</w:t>
            </w:r>
          </w:p>
        </w:tc>
        <w:tc>
          <w:tcPr>
            <w:tcW w:w="1597" w:type="dxa"/>
            <w:tcBorders>
              <w:top w:val="single" w:sz="4" w:space="0" w:color="auto"/>
              <w:left w:val="nil"/>
              <w:bottom w:val="single" w:sz="4" w:space="0" w:color="auto"/>
              <w:right w:val="single" w:sz="4" w:space="0" w:color="auto"/>
            </w:tcBorders>
            <w:vAlign w:val="center"/>
          </w:tcPr>
          <w:p w14:paraId="0351D047" w14:textId="77777777" w:rsidR="003151A2" w:rsidRPr="00967101" w:rsidRDefault="003151A2" w:rsidP="008E066C">
            <w:pPr>
              <w:jc w:val="center"/>
              <w:rPr>
                <w:color w:val="000000"/>
                <w:sz w:val="22"/>
                <w:szCs w:val="22"/>
              </w:rPr>
            </w:pPr>
            <w:r w:rsidRPr="00967101">
              <w:rPr>
                <w:color w:val="000000"/>
                <w:sz w:val="22"/>
                <w:szCs w:val="22"/>
              </w:rPr>
              <w:t>173</w:t>
            </w:r>
            <w:r w:rsidRPr="00967101">
              <w:rPr>
                <w:color w:val="000000"/>
                <w:sz w:val="22"/>
                <w:szCs w:val="22"/>
                <w:lang w:val="ru-RU"/>
              </w:rPr>
              <w:t xml:space="preserve"> </w:t>
            </w:r>
            <w:r w:rsidRPr="00967101">
              <w:rPr>
                <w:color w:val="000000"/>
                <w:sz w:val="22"/>
                <w:szCs w:val="22"/>
              </w:rPr>
              <w:t>207</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74AFF3A1" w14:textId="77777777" w:rsidR="003151A2" w:rsidRPr="00967101" w:rsidRDefault="003151A2" w:rsidP="008E066C">
            <w:pPr>
              <w:jc w:val="center"/>
              <w:rPr>
                <w:color w:val="000000"/>
                <w:sz w:val="22"/>
                <w:szCs w:val="22"/>
              </w:rPr>
            </w:pPr>
            <w:r w:rsidRPr="00967101">
              <w:rPr>
                <w:color w:val="000000"/>
                <w:sz w:val="22"/>
                <w:szCs w:val="22"/>
              </w:rPr>
              <w:t>527 166</w:t>
            </w:r>
          </w:p>
        </w:tc>
        <w:tc>
          <w:tcPr>
            <w:tcW w:w="2112" w:type="dxa"/>
            <w:tcBorders>
              <w:top w:val="nil"/>
              <w:left w:val="nil"/>
              <w:bottom w:val="single" w:sz="4" w:space="0" w:color="auto"/>
              <w:right w:val="single" w:sz="4" w:space="0" w:color="auto"/>
            </w:tcBorders>
            <w:shd w:val="clear" w:color="auto" w:fill="auto"/>
            <w:vAlign w:val="center"/>
            <w:hideMark/>
          </w:tcPr>
          <w:p w14:paraId="1D225E67" w14:textId="77777777" w:rsidR="003151A2" w:rsidRPr="00967101" w:rsidRDefault="003151A2" w:rsidP="008E066C">
            <w:pPr>
              <w:jc w:val="center"/>
              <w:rPr>
                <w:color w:val="000000"/>
                <w:sz w:val="22"/>
                <w:szCs w:val="22"/>
              </w:rPr>
            </w:pPr>
            <w:r w:rsidRPr="00967101">
              <w:rPr>
                <w:color w:val="000000"/>
                <w:sz w:val="22"/>
                <w:szCs w:val="22"/>
              </w:rPr>
              <w:t>628 201</w:t>
            </w:r>
          </w:p>
        </w:tc>
      </w:tr>
      <w:tr w:rsidR="003151A2" w:rsidRPr="00967101" w14:paraId="17F921A8" w14:textId="77777777" w:rsidTr="008E066C">
        <w:trPr>
          <w:trHeight w:val="555"/>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07CBD1B4" w14:textId="77777777" w:rsidR="003151A2" w:rsidRPr="00967101" w:rsidRDefault="003151A2" w:rsidP="008E066C">
            <w:pPr>
              <w:rPr>
                <w:color w:val="000000"/>
                <w:sz w:val="22"/>
                <w:szCs w:val="22"/>
              </w:rPr>
            </w:pPr>
            <w:r w:rsidRPr="00967101">
              <w:rPr>
                <w:color w:val="000000"/>
                <w:sz w:val="22"/>
                <w:szCs w:val="22"/>
              </w:rPr>
              <w:t>Власний капітал</w:t>
            </w:r>
          </w:p>
        </w:tc>
        <w:tc>
          <w:tcPr>
            <w:tcW w:w="1597" w:type="dxa"/>
            <w:tcBorders>
              <w:top w:val="single" w:sz="4" w:space="0" w:color="auto"/>
              <w:left w:val="nil"/>
              <w:bottom w:val="single" w:sz="4" w:space="0" w:color="auto"/>
              <w:right w:val="single" w:sz="4" w:space="0" w:color="auto"/>
            </w:tcBorders>
            <w:vAlign w:val="center"/>
          </w:tcPr>
          <w:p w14:paraId="3138AD59" w14:textId="77777777" w:rsidR="003151A2" w:rsidRPr="00967101" w:rsidRDefault="003151A2" w:rsidP="008E066C">
            <w:pPr>
              <w:jc w:val="center"/>
              <w:rPr>
                <w:color w:val="000000"/>
                <w:sz w:val="22"/>
                <w:szCs w:val="22"/>
              </w:rPr>
            </w:pPr>
            <w:r w:rsidRPr="00967101">
              <w:rPr>
                <w:color w:val="000000"/>
                <w:sz w:val="22"/>
                <w:szCs w:val="22"/>
              </w:rPr>
              <w:t>256</w:t>
            </w:r>
            <w:r w:rsidRPr="00967101">
              <w:rPr>
                <w:color w:val="000000"/>
                <w:sz w:val="22"/>
                <w:szCs w:val="22"/>
                <w:lang w:val="ru-RU"/>
              </w:rPr>
              <w:t xml:space="preserve"> </w:t>
            </w:r>
            <w:r w:rsidRPr="00967101">
              <w:rPr>
                <w:color w:val="000000"/>
                <w:sz w:val="22"/>
                <w:szCs w:val="22"/>
              </w:rPr>
              <w:t>927</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665F09B2" w14:textId="77777777" w:rsidR="003151A2" w:rsidRPr="00967101" w:rsidRDefault="003151A2" w:rsidP="008E066C">
            <w:pPr>
              <w:jc w:val="center"/>
              <w:rPr>
                <w:color w:val="000000"/>
                <w:sz w:val="22"/>
                <w:szCs w:val="22"/>
              </w:rPr>
            </w:pPr>
            <w:r w:rsidRPr="00967101">
              <w:rPr>
                <w:color w:val="000000"/>
                <w:sz w:val="22"/>
                <w:szCs w:val="22"/>
              </w:rPr>
              <w:t>610 886</w:t>
            </w:r>
          </w:p>
        </w:tc>
        <w:tc>
          <w:tcPr>
            <w:tcW w:w="2112" w:type="dxa"/>
            <w:tcBorders>
              <w:top w:val="nil"/>
              <w:left w:val="nil"/>
              <w:bottom w:val="single" w:sz="4" w:space="0" w:color="auto"/>
              <w:right w:val="single" w:sz="4" w:space="0" w:color="auto"/>
            </w:tcBorders>
            <w:shd w:val="clear" w:color="auto" w:fill="auto"/>
            <w:vAlign w:val="center"/>
            <w:hideMark/>
          </w:tcPr>
          <w:p w14:paraId="6703CDC0" w14:textId="77777777" w:rsidR="003151A2" w:rsidRPr="00967101" w:rsidRDefault="003151A2" w:rsidP="008E066C">
            <w:pPr>
              <w:jc w:val="center"/>
              <w:rPr>
                <w:color w:val="000000"/>
                <w:sz w:val="22"/>
                <w:szCs w:val="22"/>
              </w:rPr>
            </w:pPr>
            <w:r w:rsidRPr="00967101">
              <w:rPr>
                <w:color w:val="000000"/>
                <w:sz w:val="22"/>
                <w:szCs w:val="22"/>
              </w:rPr>
              <w:t>711 921</w:t>
            </w:r>
          </w:p>
        </w:tc>
      </w:tr>
      <w:tr w:rsidR="003151A2" w:rsidRPr="00967101" w14:paraId="43011C59" w14:textId="77777777" w:rsidTr="008E066C">
        <w:trPr>
          <w:trHeight w:val="493"/>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B8CFAE1" w14:textId="77777777" w:rsidR="003151A2" w:rsidRPr="00967101" w:rsidRDefault="003151A2" w:rsidP="008E066C">
            <w:pPr>
              <w:rPr>
                <w:color w:val="000000"/>
                <w:sz w:val="22"/>
                <w:szCs w:val="22"/>
              </w:rPr>
            </w:pPr>
            <w:r w:rsidRPr="00967101">
              <w:rPr>
                <w:color w:val="000000"/>
                <w:sz w:val="22"/>
                <w:szCs w:val="22"/>
              </w:rPr>
              <w:t>Зареєстрований (пайовий/статутний) капітал</w:t>
            </w:r>
          </w:p>
        </w:tc>
        <w:tc>
          <w:tcPr>
            <w:tcW w:w="1597" w:type="dxa"/>
            <w:tcBorders>
              <w:top w:val="single" w:sz="4" w:space="0" w:color="auto"/>
              <w:left w:val="nil"/>
              <w:bottom w:val="single" w:sz="4" w:space="0" w:color="auto"/>
              <w:right w:val="single" w:sz="4" w:space="0" w:color="auto"/>
            </w:tcBorders>
            <w:vAlign w:val="center"/>
          </w:tcPr>
          <w:p w14:paraId="7A816333" w14:textId="77777777" w:rsidR="003151A2" w:rsidRPr="00967101" w:rsidRDefault="003151A2" w:rsidP="008E066C">
            <w:pPr>
              <w:jc w:val="center"/>
              <w:rPr>
                <w:color w:val="000000"/>
                <w:sz w:val="22"/>
                <w:szCs w:val="22"/>
              </w:rPr>
            </w:pPr>
            <w:r w:rsidRPr="00967101">
              <w:rPr>
                <w:color w:val="000000"/>
                <w:sz w:val="22"/>
                <w:szCs w:val="22"/>
              </w:rPr>
              <w:t>83 720</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50C79715" w14:textId="77777777" w:rsidR="003151A2" w:rsidRPr="00967101" w:rsidRDefault="003151A2" w:rsidP="008E066C">
            <w:pPr>
              <w:jc w:val="center"/>
              <w:rPr>
                <w:color w:val="000000"/>
                <w:sz w:val="22"/>
                <w:szCs w:val="22"/>
              </w:rPr>
            </w:pPr>
            <w:r w:rsidRPr="00967101">
              <w:rPr>
                <w:color w:val="000000"/>
                <w:sz w:val="22"/>
                <w:szCs w:val="22"/>
              </w:rPr>
              <w:t>83 720</w:t>
            </w:r>
          </w:p>
        </w:tc>
        <w:tc>
          <w:tcPr>
            <w:tcW w:w="2112" w:type="dxa"/>
            <w:tcBorders>
              <w:top w:val="nil"/>
              <w:left w:val="nil"/>
              <w:bottom w:val="single" w:sz="4" w:space="0" w:color="auto"/>
              <w:right w:val="single" w:sz="4" w:space="0" w:color="auto"/>
            </w:tcBorders>
            <w:shd w:val="clear" w:color="auto" w:fill="auto"/>
            <w:vAlign w:val="center"/>
            <w:hideMark/>
          </w:tcPr>
          <w:p w14:paraId="13FBEEB4" w14:textId="77777777" w:rsidR="003151A2" w:rsidRPr="00967101" w:rsidRDefault="003151A2" w:rsidP="008E066C">
            <w:pPr>
              <w:jc w:val="center"/>
              <w:rPr>
                <w:color w:val="000000"/>
                <w:sz w:val="22"/>
                <w:szCs w:val="22"/>
              </w:rPr>
            </w:pPr>
            <w:r w:rsidRPr="00967101">
              <w:rPr>
                <w:color w:val="000000"/>
                <w:sz w:val="22"/>
                <w:szCs w:val="22"/>
              </w:rPr>
              <w:t>83 720</w:t>
            </w:r>
          </w:p>
        </w:tc>
      </w:tr>
      <w:tr w:rsidR="003151A2" w:rsidRPr="00967101" w14:paraId="312787AB" w14:textId="77777777" w:rsidTr="008E066C">
        <w:trPr>
          <w:trHeight w:val="419"/>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1CA95B93" w14:textId="77777777" w:rsidR="003151A2" w:rsidRPr="00967101" w:rsidRDefault="003151A2" w:rsidP="008E066C">
            <w:pPr>
              <w:rPr>
                <w:color w:val="000000"/>
                <w:sz w:val="22"/>
                <w:szCs w:val="22"/>
              </w:rPr>
            </w:pPr>
            <w:r w:rsidRPr="00967101">
              <w:rPr>
                <w:color w:val="000000"/>
                <w:sz w:val="22"/>
                <w:szCs w:val="22"/>
              </w:rPr>
              <w:t>Довгострокові зобов'язання і забезпечення</w:t>
            </w:r>
          </w:p>
        </w:tc>
        <w:tc>
          <w:tcPr>
            <w:tcW w:w="1597" w:type="dxa"/>
            <w:tcBorders>
              <w:top w:val="single" w:sz="4" w:space="0" w:color="auto"/>
              <w:left w:val="nil"/>
              <w:bottom w:val="single" w:sz="4" w:space="0" w:color="auto"/>
              <w:right w:val="single" w:sz="4" w:space="0" w:color="auto"/>
            </w:tcBorders>
            <w:vAlign w:val="center"/>
          </w:tcPr>
          <w:p w14:paraId="282AD6B1" w14:textId="77777777" w:rsidR="003151A2" w:rsidRPr="00967101" w:rsidRDefault="003151A2" w:rsidP="008E066C">
            <w:pPr>
              <w:jc w:val="center"/>
              <w:rPr>
                <w:color w:val="000000"/>
                <w:sz w:val="22"/>
                <w:szCs w:val="22"/>
              </w:rPr>
            </w:pPr>
            <w:r w:rsidRPr="00967101">
              <w:rPr>
                <w:color w:val="000000"/>
                <w:sz w:val="22"/>
                <w:szCs w:val="22"/>
              </w:rPr>
              <w:t>283</w:t>
            </w:r>
            <w:r w:rsidRPr="00967101">
              <w:rPr>
                <w:color w:val="000000"/>
                <w:sz w:val="22"/>
                <w:szCs w:val="22"/>
                <w:lang w:val="ru-RU"/>
              </w:rPr>
              <w:t xml:space="preserve"> </w:t>
            </w:r>
            <w:r w:rsidRPr="00967101">
              <w:rPr>
                <w:color w:val="000000"/>
                <w:sz w:val="22"/>
                <w:szCs w:val="22"/>
              </w:rPr>
              <w:t>836</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0E7B184C" w14:textId="77777777" w:rsidR="003151A2" w:rsidRPr="00967101" w:rsidRDefault="003151A2" w:rsidP="008E066C">
            <w:pPr>
              <w:jc w:val="center"/>
              <w:rPr>
                <w:color w:val="000000"/>
                <w:sz w:val="22"/>
                <w:szCs w:val="22"/>
              </w:rPr>
            </w:pPr>
            <w:r w:rsidRPr="00967101">
              <w:rPr>
                <w:color w:val="000000"/>
                <w:sz w:val="22"/>
                <w:szCs w:val="22"/>
              </w:rPr>
              <w:t>269 833</w:t>
            </w:r>
          </w:p>
        </w:tc>
        <w:tc>
          <w:tcPr>
            <w:tcW w:w="2112" w:type="dxa"/>
            <w:tcBorders>
              <w:top w:val="nil"/>
              <w:left w:val="nil"/>
              <w:bottom w:val="single" w:sz="4" w:space="0" w:color="auto"/>
              <w:right w:val="single" w:sz="4" w:space="0" w:color="auto"/>
            </w:tcBorders>
            <w:shd w:val="clear" w:color="auto" w:fill="auto"/>
            <w:vAlign w:val="center"/>
            <w:hideMark/>
          </w:tcPr>
          <w:p w14:paraId="235FE6D7" w14:textId="77777777" w:rsidR="003151A2" w:rsidRPr="00967101" w:rsidRDefault="003151A2" w:rsidP="008E066C">
            <w:pPr>
              <w:jc w:val="center"/>
              <w:rPr>
                <w:color w:val="000000"/>
                <w:sz w:val="22"/>
                <w:szCs w:val="22"/>
              </w:rPr>
            </w:pPr>
            <w:r w:rsidRPr="00967101">
              <w:rPr>
                <w:color w:val="000000"/>
                <w:sz w:val="22"/>
                <w:szCs w:val="22"/>
              </w:rPr>
              <w:t>127 371</w:t>
            </w:r>
          </w:p>
        </w:tc>
      </w:tr>
      <w:tr w:rsidR="003151A2" w:rsidRPr="00967101" w14:paraId="7F90125A" w14:textId="77777777" w:rsidTr="008E066C">
        <w:trPr>
          <w:trHeight w:val="487"/>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48C827D" w14:textId="77777777" w:rsidR="003151A2" w:rsidRPr="00967101" w:rsidRDefault="003151A2" w:rsidP="008E066C">
            <w:pPr>
              <w:rPr>
                <w:color w:val="000000"/>
                <w:sz w:val="22"/>
                <w:szCs w:val="22"/>
              </w:rPr>
            </w:pPr>
            <w:r w:rsidRPr="00967101">
              <w:rPr>
                <w:color w:val="000000"/>
                <w:sz w:val="22"/>
                <w:szCs w:val="22"/>
              </w:rPr>
              <w:t>Поточні зобов'язання і забезпечення</w:t>
            </w:r>
          </w:p>
        </w:tc>
        <w:tc>
          <w:tcPr>
            <w:tcW w:w="1597" w:type="dxa"/>
            <w:tcBorders>
              <w:top w:val="single" w:sz="4" w:space="0" w:color="auto"/>
              <w:left w:val="nil"/>
              <w:bottom w:val="single" w:sz="4" w:space="0" w:color="auto"/>
              <w:right w:val="single" w:sz="4" w:space="0" w:color="auto"/>
            </w:tcBorders>
            <w:vAlign w:val="center"/>
          </w:tcPr>
          <w:p w14:paraId="2D76C74F" w14:textId="77777777" w:rsidR="003151A2" w:rsidRPr="00967101" w:rsidRDefault="003151A2" w:rsidP="008E066C">
            <w:pPr>
              <w:jc w:val="center"/>
              <w:rPr>
                <w:color w:val="000000"/>
                <w:sz w:val="22"/>
                <w:szCs w:val="22"/>
              </w:rPr>
            </w:pPr>
            <w:r w:rsidRPr="00967101">
              <w:rPr>
                <w:color w:val="000000"/>
                <w:sz w:val="22"/>
                <w:szCs w:val="22"/>
              </w:rPr>
              <w:t>929</w:t>
            </w:r>
            <w:r w:rsidRPr="00967101">
              <w:rPr>
                <w:color w:val="000000"/>
                <w:sz w:val="22"/>
                <w:szCs w:val="22"/>
                <w:lang w:val="ru-RU"/>
              </w:rPr>
              <w:t xml:space="preserve"> </w:t>
            </w:r>
            <w:r w:rsidRPr="00967101">
              <w:rPr>
                <w:color w:val="000000"/>
                <w:sz w:val="22"/>
                <w:szCs w:val="22"/>
              </w:rPr>
              <w:t>754</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40C8E9A1" w14:textId="77777777" w:rsidR="003151A2" w:rsidRPr="00967101" w:rsidRDefault="003151A2" w:rsidP="008E066C">
            <w:pPr>
              <w:jc w:val="center"/>
              <w:rPr>
                <w:color w:val="000000"/>
                <w:sz w:val="22"/>
                <w:szCs w:val="22"/>
              </w:rPr>
            </w:pPr>
            <w:r w:rsidRPr="00967101">
              <w:rPr>
                <w:color w:val="000000"/>
                <w:sz w:val="22"/>
                <w:szCs w:val="22"/>
              </w:rPr>
              <w:t>929 084</w:t>
            </w:r>
          </w:p>
        </w:tc>
        <w:tc>
          <w:tcPr>
            <w:tcW w:w="2112" w:type="dxa"/>
            <w:tcBorders>
              <w:top w:val="nil"/>
              <w:left w:val="nil"/>
              <w:bottom w:val="single" w:sz="4" w:space="0" w:color="auto"/>
              <w:right w:val="single" w:sz="4" w:space="0" w:color="auto"/>
            </w:tcBorders>
            <w:shd w:val="clear" w:color="auto" w:fill="auto"/>
            <w:vAlign w:val="center"/>
            <w:hideMark/>
          </w:tcPr>
          <w:p w14:paraId="76B7ADB6" w14:textId="77777777" w:rsidR="003151A2" w:rsidRPr="00967101" w:rsidRDefault="003151A2" w:rsidP="008E066C">
            <w:pPr>
              <w:jc w:val="center"/>
              <w:rPr>
                <w:color w:val="000000"/>
                <w:sz w:val="22"/>
                <w:szCs w:val="22"/>
              </w:rPr>
            </w:pPr>
            <w:r w:rsidRPr="00967101">
              <w:rPr>
                <w:color w:val="000000"/>
                <w:sz w:val="22"/>
                <w:szCs w:val="22"/>
              </w:rPr>
              <w:t>933 547</w:t>
            </w:r>
          </w:p>
        </w:tc>
      </w:tr>
      <w:tr w:rsidR="003151A2" w:rsidRPr="00967101" w14:paraId="0BF7F40C" w14:textId="77777777" w:rsidTr="008E066C">
        <w:trPr>
          <w:trHeight w:val="441"/>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51D14FC" w14:textId="77777777" w:rsidR="003151A2" w:rsidRPr="00967101" w:rsidRDefault="003151A2" w:rsidP="008E066C">
            <w:pPr>
              <w:rPr>
                <w:color w:val="000000"/>
                <w:sz w:val="22"/>
                <w:szCs w:val="22"/>
              </w:rPr>
            </w:pPr>
            <w:r w:rsidRPr="00967101">
              <w:rPr>
                <w:color w:val="000000"/>
                <w:sz w:val="22"/>
                <w:szCs w:val="22"/>
              </w:rPr>
              <w:t>Чистий фінансовий результат: прибуток (збиток)</w:t>
            </w:r>
          </w:p>
        </w:tc>
        <w:tc>
          <w:tcPr>
            <w:tcW w:w="1597" w:type="dxa"/>
            <w:tcBorders>
              <w:top w:val="single" w:sz="4" w:space="0" w:color="auto"/>
              <w:left w:val="nil"/>
              <w:bottom w:val="single" w:sz="4" w:space="0" w:color="auto"/>
              <w:right w:val="single" w:sz="4" w:space="0" w:color="auto"/>
            </w:tcBorders>
            <w:vAlign w:val="center"/>
          </w:tcPr>
          <w:p w14:paraId="57BADEFD" w14:textId="77777777" w:rsidR="003151A2" w:rsidRPr="00967101" w:rsidRDefault="003151A2" w:rsidP="008E066C">
            <w:pPr>
              <w:jc w:val="center"/>
              <w:rPr>
                <w:color w:val="000000"/>
                <w:sz w:val="22"/>
                <w:szCs w:val="22"/>
              </w:rPr>
            </w:pPr>
            <w:r w:rsidRPr="00967101">
              <w:rPr>
                <w:color w:val="000000"/>
                <w:sz w:val="22"/>
                <w:szCs w:val="22"/>
              </w:rPr>
              <w:t>-364</w:t>
            </w:r>
            <w:r w:rsidRPr="00967101">
              <w:rPr>
                <w:color w:val="000000"/>
                <w:sz w:val="22"/>
                <w:szCs w:val="22"/>
                <w:lang w:val="ru-RU"/>
              </w:rPr>
              <w:t xml:space="preserve"> </w:t>
            </w:r>
            <w:r w:rsidRPr="00967101">
              <w:rPr>
                <w:color w:val="000000"/>
                <w:sz w:val="22"/>
                <w:szCs w:val="22"/>
              </w:rPr>
              <w:t>771</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370968C7" w14:textId="77777777" w:rsidR="003151A2" w:rsidRPr="00967101" w:rsidRDefault="003151A2" w:rsidP="008E066C">
            <w:pPr>
              <w:jc w:val="center"/>
              <w:rPr>
                <w:color w:val="000000"/>
                <w:sz w:val="22"/>
                <w:szCs w:val="22"/>
              </w:rPr>
            </w:pPr>
            <w:r w:rsidRPr="00967101">
              <w:rPr>
                <w:color w:val="000000"/>
                <w:sz w:val="22"/>
                <w:szCs w:val="22"/>
              </w:rPr>
              <w:t>25 730</w:t>
            </w:r>
          </w:p>
        </w:tc>
        <w:tc>
          <w:tcPr>
            <w:tcW w:w="2112" w:type="dxa"/>
            <w:tcBorders>
              <w:top w:val="nil"/>
              <w:left w:val="nil"/>
              <w:bottom w:val="single" w:sz="4" w:space="0" w:color="auto"/>
              <w:right w:val="single" w:sz="4" w:space="0" w:color="auto"/>
            </w:tcBorders>
            <w:shd w:val="clear" w:color="auto" w:fill="auto"/>
            <w:vAlign w:val="center"/>
            <w:hideMark/>
          </w:tcPr>
          <w:p w14:paraId="7F055E19" w14:textId="77777777" w:rsidR="003151A2" w:rsidRPr="00967101" w:rsidRDefault="003151A2" w:rsidP="008E066C">
            <w:pPr>
              <w:jc w:val="center"/>
              <w:rPr>
                <w:color w:val="000000"/>
                <w:sz w:val="22"/>
                <w:szCs w:val="22"/>
              </w:rPr>
            </w:pPr>
            <w:r w:rsidRPr="00967101">
              <w:rPr>
                <w:color w:val="000000"/>
                <w:sz w:val="22"/>
                <w:szCs w:val="22"/>
              </w:rPr>
              <w:t>-101 823</w:t>
            </w:r>
          </w:p>
        </w:tc>
      </w:tr>
      <w:tr w:rsidR="003151A2" w:rsidRPr="00967101" w14:paraId="158C5229" w14:textId="77777777" w:rsidTr="008E066C">
        <w:trPr>
          <w:trHeight w:val="367"/>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25A39B7" w14:textId="77777777" w:rsidR="003151A2" w:rsidRPr="00967101" w:rsidRDefault="003151A2" w:rsidP="008E066C">
            <w:pPr>
              <w:rPr>
                <w:color w:val="000000"/>
                <w:sz w:val="22"/>
                <w:szCs w:val="22"/>
              </w:rPr>
            </w:pPr>
            <w:r w:rsidRPr="00967101">
              <w:rPr>
                <w:color w:val="000000"/>
                <w:sz w:val="22"/>
                <w:szCs w:val="22"/>
              </w:rPr>
              <w:lastRenderedPageBreak/>
              <w:t>Середньорічна кількість акцій (шт.)</w:t>
            </w:r>
          </w:p>
        </w:tc>
        <w:tc>
          <w:tcPr>
            <w:tcW w:w="1597" w:type="dxa"/>
            <w:tcBorders>
              <w:top w:val="single" w:sz="4" w:space="0" w:color="auto"/>
              <w:left w:val="nil"/>
              <w:bottom w:val="single" w:sz="4" w:space="0" w:color="auto"/>
              <w:right w:val="single" w:sz="4" w:space="0" w:color="auto"/>
            </w:tcBorders>
            <w:vAlign w:val="center"/>
          </w:tcPr>
          <w:p w14:paraId="1A64F4A7" w14:textId="77777777" w:rsidR="003151A2" w:rsidRPr="00967101" w:rsidRDefault="003151A2" w:rsidP="008E066C">
            <w:pPr>
              <w:jc w:val="center"/>
              <w:rPr>
                <w:color w:val="000000"/>
                <w:sz w:val="22"/>
                <w:szCs w:val="22"/>
                <w:lang w:val="en-US"/>
              </w:rPr>
            </w:pPr>
            <w:r w:rsidRPr="00967101">
              <w:rPr>
                <w:color w:val="000000"/>
                <w:sz w:val="22"/>
                <w:szCs w:val="22"/>
              </w:rPr>
              <w:t>334 879 267</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2E0A75F9" w14:textId="77777777" w:rsidR="003151A2" w:rsidRPr="00967101" w:rsidRDefault="003151A2" w:rsidP="008E066C">
            <w:pPr>
              <w:jc w:val="center"/>
              <w:rPr>
                <w:color w:val="000000"/>
                <w:sz w:val="22"/>
                <w:szCs w:val="22"/>
              </w:rPr>
            </w:pPr>
            <w:r w:rsidRPr="00967101">
              <w:rPr>
                <w:color w:val="000000"/>
                <w:sz w:val="22"/>
                <w:szCs w:val="22"/>
              </w:rPr>
              <w:t>334 879 267</w:t>
            </w:r>
          </w:p>
        </w:tc>
        <w:tc>
          <w:tcPr>
            <w:tcW w:w="2112" w:type="dxa"/>
            <w:tcBorders>
              <w:top w:val="nil"/>
              <w:left w:val="nil"/>
              <w:bottom w:val="single" w:sz="4" w:space="0" w:color="auto"/>
              <w:right w:val="single" w:sz="4" w:space="0" w:color="auto"/>
            </w:tcBorders>
            <w:shd w:val="clear" w:color="auto" w:fill="auto"/>
            <w:vAlign w:val="center"/>
            <w:hideMark/>
          </w:tcPr>
          <w:p w14:paraId="625C99FC" w14:textId="77777777" w:rsidR="003151A2" w:rsidRPr="00967101" w:rsidRDefault="003151A2" w:rsidP="008E066C">
            <w:pPr>
              <w:jc w:val="center"/>
              <w:rPr>
                <w:color w:val="000000"/>
                <w:sz w:val="22"/>
                <w:szCs w:val="22"/>
              </w:rPr>
            </w:pPr>
            <w:r w:rsidRPr="00967101">
              <w:rPr>
                <w:color w:val="000000"/>
                <w:sz w:val="22"/>
                <w:szCs w:val="22"/>
              </w:rPr>
              <w:t>334 879 267</w:t>
            </w:r>
          </w:p>
        </w:tc>
      </w:tr>
      <w:tr w:rsidR="003151A2" w:rsidRPr="00967101" w14:paraId="10D01F11" w14:textId="77777777" w:rsidTr="008E066C">
        <w:trPr>
          <w:trHeight w:val="577"/>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3389ACD" w14:textId="77777777" w:rsidR="003151A2" w:rsidRPr="00967101" w:rsidRDefault="003151A2" w:rsidP="008E066C">
            <w:pPr>
              <w:rPr>
                <w:color w:val="000000"/>
                <w:sz w:val="22"/>
                <w:szCs w:val="22"/>
              </w:rPr>
            </w:pPr>
            <w:r w:rsidRPr="00967101">
              <w:rPr>
                <w:color w:val="000000"/>
                <w:sz w:val="22"/>
                <w:szCs w:val="22"/>
              </w:rPr>
              <w:t>Чистий прибуток (збиток) на одну просту акцію (грн)</w:t>
            </w:r>
          </w:p>
        </w:tc>
        <w:tc>
          <w:tcPr>
            <w:tcW w:w="1597" w:type="dxa"/>
            <w:tcBorders>
              <w:top w:val="single" w:sz="4" w:space="0" w:color="auto"/>
              <w:left w:val="nil"/>
              <w:bottom w:val="single" w:sz="4" w:space="0" w:color="auto"/>
              <w:right w:val="single" w:sz="4" w:space="0" w:color="auto"/>
            </w:tcBorders>
            <w:vAlign w:val="center"/>
          </w:tcPr>
          <w:p w14:paraId="6D97953E" w14:textId="77777777" w:rsidR="003151A2" w:rsidRPr="00967101" w:rsidRDefault="003151A2" w:rsidP="008E066C">
            <w:pPr>
              <w:jc w:val="center"/>
              <w:rPr>
                <w:color w:val="000000"/>
                <w:sz w:val="22"/>
                <w:szCs w:val="22"/>
                <w:lang w:val="ru-RU"/>
              </w:rPr>
            </w:pPr>
            <w:r w:rsidRPr="00967101">
              <w:rPr>
                <w:color w:val="000000"/>
                <w:sz w:val="22"/>
                <w:szCs w:val="22"/>
                <w:lang w:val="ru-RU"/>
              </w:rPr>
              <w:t>-1,08926</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14:paraId="6B456581" w14:textId="77777777" w:rsidR="003151A2" w:rsidRPr="00967101" w:rsidRDefault="003151A2" w:rsidP="008E066C">
            <w:pPr>
              <w:jc w:val="center"/>
              <w:rPr>
                <w:color w:val="000000"/>
                <w:sz w:val="22"/>
                <w:szCs w:val="22"/>
              </w:rPr>
            </w:pPr>
            <w:r w:rsidRPr="00967101">
              <w:rPr>
                <w:color w:val="000000"/>
                <w:sz w:val="22"/>
                <w:szCs w:val="22"/>
              </w:rPr>
              <w:t>0,0768337</w:t>
            </w:r>
          </w:p>
        </w:tc>
        <w:tc>
          <w:tcPr>
            <w:tcW w:w="2112" w:type="dxa"/>
            <w:tcBorders>
              <w:top w:val="nil"/>
              <w:left w:val="nil"/>
              <w:bottom w:val="single" w:sz="4" w:space="0" w:color="auto"/>
              <w:right w:val="single" w:sz="4" w:space="0" w:color="auto"/>
            </w:tcBorders>
            <w:shd w:val="clear" w:color="auto" w:fill="auto"/>
            <w:vAlign w:val="center"/>
            <w:hideMark/>
          </w:tcPr>
          <w:p w14:paraId="6053FAF9" w14:textId="77777777" w:rsidR="003151A2" w:rsidRPr="00967101" w:rsidRDefault="003151A2" w:rsidP="008E066C">
            <w:pPr>
              <w:jc w:val="center"/>
              <w:rPr>
                <w:color w:val="000000"/>
                <w:sz w:val="22"/>
                <w:szCs w:val="22"/>
              </w:rPr>
            </w:pPr>
            <w:r w:rsidRPr="00967101">
              <w:rPr>
                <w:color w:val="000000"/>
                <w:sz w:val="22"/>
                <w:szCs w:val="22"/>
              </w:rPr>
              <w:t>-0,3040588</w:t>
            </w:r>
          </w:p>
        </w:tc>
      </w:tr>
    </w:tbl>
    <w:p w14:paraId="1B448547" w14:textId="77777777" w:rsidR="003151A2" w:rsidRDefault="003151A2" w:rsidP="003151A2">
      <w:pPr>
        <w:jc w:val="right"/>
        <w:rPr>
          <w:b/>
          <w:spacing w:val="6"/>
          <w:sz w:val="22"/>
          <w:szCs w:val="22"/>
        </w:rPr>
      </w:pPr>
    </w:p>
    <w:p w14:paraId="2EB9ADD1" w14:textId="77777777" w:rsidR="003151A2" w:rsidRDefault="003151A2" w:rsidP="003151A2">
      <w:pPr>
        <w:jc w:val="right"/>
        <w:rPr>
          <w:b/>
          <w:bCs/>
          <w:spacing w:val="6"/>
          <w:sz w:val="22"/>
          <w:szCs w:val="22"/>
        </w:rPr>
      </w:pPr>
      <w:r w:rsidRPr="001107EC">
        <w:rPr>
          <w:b/>
          <w:spacing w:val="6"/>
          <w:sz w:val="22"/>
          <w:szCs w:val="22"/>
        </w:rPr>
        <w:t xml:space="preserve">Наглядова рада </w:t>
      </w:r>
      <w:r w:rsidRPr="001107EC">
        <w:rPr>
          <w:b/>
          <w:bCs/>
          <w:spacing w:val="6"/>
          <w:sz w:val="22"/>
          <w:szCs w:val="22"/>
        </w:rPr>
        <w:t>ПрАТ «ДТЕК ШАХТА КОМСОМОЛЕЦЬ ДОНБАСУ»</w:t>
      </w:r>
    </w:p>
    <w:p w14:paraId="1BABEC88" w14:textId="77777777" w:rsidR="003151A2" w:rsidRDefault="003151A2" w:rsidP="006156DD">
      <w:pPr>
        <w:spacing w:before="120" w:after="120"/>
        <w:jc w:val="both"/>
        <w:rPr>
          <w:spacing w:val="6"/>
          <w:sz w:val="22"/>
          <w:szCs w:val="22"/>
        </w:rPr>
      </w:pPr>
    </w:p>
    <w:p w14:paraId="3B1036FC" w14:textId="77777777" w:rsidR="00933106" w:rsidRDefault="00B667AB"/>
    <w:sectPr w:rsidR="0093310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2CCF" w14:textId="77777777" w:rsidR="00B667AB" w:rsidRDefault="00B667AB" w:rsidP="002A00BC">
      <w:r>
        <w:separator/>
      </w:r>
    </w:p>
  </w:endnote>
  <w:endnote w:type="continuationSeparator" w:id="0">
    <w:p w14:paraId="087DA24F" w14:textId="77777777" w:rsidR="00B667AB" w:rsidRDefault="00B667AB" w:rsidP="002A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340287"/>
      <w:docPartObj>
        <w:docPartGallery w:val="Page Numbers (Bottom of Page)"/>
        <w:docPartUnique/>
      </w:docPartObj>
    </w:sdtPr>
    <w:sdtContent>
      <w:p w14:paraId="103C0B4A" w14:textId="4600FD6F" w:rsidR="002A00BC" w:rsidRDefault="002A00BC">
        <w:pPr>
          <w:pStyle w:val="ab"/>
          <w:jc w:val="right"/>
        </w:pPr>
        <w:r>
          <w:fldChar w:fldCharType="begin"/>
        </w:r>
        <w:r>
          <w:instrText>PAGE   \* MERGEFORMAT</w:instrText>
        </w:r>
        <w:r>
          <w:fldChar w:fldCharType="separate"/>
        </w:r>
        <w:r>
          <w:t>2</w:t>
        </w:r>
        <w:r>
          <w:fldChar w:fldCharType="end"/>
        </w:r>
      </w:p>
    </w:sdtContent>
  </w:sdt>
  <w:p w14:paraId="055719C0" w14:textId="77777777" w:rsidR="002A00BC" w:rsidRDefault="002A00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6AE3" w14:textId="77777777" w:rsidR="00B667AB" w:rsidRDefault="00B667AB" w:rsidP="002A00BC">
      <w:r>
        <w:separator/>
      </w:r>
    </w:p>
  </w:footnote>
  <w:footnote w:type="continuationSeparator" w:id="0">
    <w:p w14:paraId="748060EA" w14:textId="77777777" w:rsidR="00B667AB" w:rsidRDefault="00B667AB" w:rsidP="002A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C3F22"/>
    <w:multiLevelType w:val="multilevel"/>
    <w:tmpl w:val="59B85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54B56AC8"/>
    <w:multiLevelType w:val="multilevel"/>
    <w:tmpl w:val="B7C232DA"/>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upperLetter"/>
      <w:lvlText w:val="%1.%2.%3.%4."/>
      <w:lvlJc w:val="left"/>
      <w:pPr>
        <w:ind w:left="720" w:hanging="720"/>
      </w:pPr>
      <w:rPr>
        <w:rFonts w:hint="default"/>
        <w:color w:val="000000" w:themeColor="text1"/>
      </w:rPr>
    </w:lvl>
    <w:lvl w:ilvl="4">
      <w:start w:val="1"/>
      <w:numFmt w:val="upperLetter"/>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652912A9"/>
    <w:multiLevelType w:val="multilevel"/>
    <w:tmpl w:val="0FF8F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1807DF"/>
    <w:multiLevelType w:val="multilevel"/>
    <w:tmpl w:val="45D44EBE"/>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upperLetter"/>
      <w:lvlText w:val="%1.%2.%3.%4."/>
      <w:lvlJc w:val="left"/>
      <w:pPr>
        <w:ind w:left="720" w:hanging="720"/>
      </w:pPr>
      <w:rPr>
        <w:rFonts w:hint="default"/>
        <w:color w:val="000000" w:themeColor="text1"/>
      </w:rPr>
    </w:lvl>
    <w:lvl w:ilvl="4">
      <w:start w:val="1"/>
      <w:numFmt w:val="upperLetter"/>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DD"/>
    <w:rsid w:val="000043AC"/>
    <w:rsid w:val="00054D7D"/>
    <w:rsid w:val="002535DE"/>
    <w:rsid w:val="002A00BC"/>
    <w:rsid w:val="003151A2"/>
    <w:rsid w:val="00377502"/>
    <w:rsid w:val="003D7468"/>
    <w:rsid w:val="00604AC9"/>
    <w:rsid w:val="006156DD"/>
    <w:rsid w:val="007D4C06"/>
    <w:rsid w:val="00840F8B"/>
    <w:rsid w:val="008A5A3C"/>
    <w:rsid w:val="009A5C08"/>
    <w:rsid w:val="00B667AB"/>
    <w:rsid w:val="00E91BC3"/>
    <w:rsid w:val="00F208DE"/>
    <w:rsid w:val="00F62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32A1"/>
  <w15:chartTrackingRefBased/>
  <w15:docId w15:val="{CEE4C366-E846-48FE-BD60-EEF2C7FB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6D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Текст,List_Paragraph,Multilevel para_II,List Paragraph1,Akapit z listą BS,Main numbered paragraph,Абзац вправо-1,Lvl 1 Bullet,Bullet List,FooterText"/>
    <w:basedOn w:val="a"/>
    <w:link w:val="a4"/>
    <w:uiPriority w:val="34"/>
    <w:qFormat/>
    <w:rsid w:val="006156DD"/>
    <w:pPr>
      <w:ind w:left="720"/>
      <w:contextualSpacing/>
    </w:pPr>
  </w:style>
  <w:style w:type="character" w:customStyle="1" w:styleId="a4">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basedOn w:val="a0"/>
    <w:link w:val="a3"/>
    <w:uiPriority w:val="34"/>
    <w:locked/>
    <w:rsid w:val="006156DD"/>
    <w:rPr>
      <w:rFonts w:ascii="Times New Roman" w:eastAsia="Times New Roman" w:hAnsi="Times New Roman" w:cs="Times New Roman"/>
      <w:sz w:val="24"/>
      <w:szCs w:val="24"/>
      <w:lang w:eastAsia="uk-UA"/>
    </w:rPr>
  </w:style>
  <w:style w:type="paragraph" w:customStyle="1" w:styleId="Default">
    <w:name w:val="Default"/>
    <w:rsid w:val="006156D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6156D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156DD"/>
    <w:rPr>
      <w:color w:val="0563C1" w:themeColor="hyperlink"/>
      <w:u w:val="single"/>
    </w:rPr>
  </w:style>
  <w:style w:type="paragraph" w:styleId="a7">
    <w:name w:val="Balloon Text"/>
    <w:basedOn w:val="a"/>
    <w:link w:val="a8"/>
    <w:uiPriority w:val="99"/>
    <w:semiHidden/>
    <w:unhideWhenUsed/>
    <w:rsid w:val="00840F8B"/>
    <w:rPr>
      <w:rFonts w:ascii="Segoe UI" w:hAnsi="Segoe UI" w:cs="Segoe UI"/>
      <w:sz w:val="18"/>
      <w:szCs w:val="18"/>
    </w:rPr>
  </w:style>
  <w:style w:type="character" w:customStyle="1" w:styleId="a8">
    <w:name w:val="Текст выноски Знак"/>
    <w:basedOn w:val="a0"/>
    <w:link w:val="a7"/>
    <w:uiPriority w:val="99"/>
    <w:semiHidden/>
    <w:rsid w:val="00840F8B"/>
    <w:rPr>
      <w:rFonts w:ascii="Segoe UI" w:eastAsia="Times New Roman" w:hAnsi="Segoe UI" w:cs="Segoe UI"/>
      <w:sz w:val="18"/>
      <w:szCs w:val="18"/>
      <w:lang w:eastAsia="uk-UA"/>
    </w:rPr>
  </w:style>
  <w:style w:type="paragraph" w:styleId="a9">
    <w:name w:val="header"/>
    <w:basedOn w:val="a"/>
    <w:link w:val="aa"/>
    <w:uiPriority w:val="99"/>
    <w:unhideWhenUsed/>
    <w:rsid w:val="002A00BC"/>
    <w:pPr>
      <w:tabs>
        <w:tab w:val="center" w:pos="4677"/>
        <w:tab w:val="right" w:pos="9355"/>
      </w:tabs>
    </w:pPr>
  </w:style>
  <w:style w:type="character" w:customStyle="1" w:styleId="aa">
    <w:name w:val="Верхний колонтитул Знак"/>
    <w:basedOn w:val="a0"/>
    <w:link w:val="a9"/>
    <w:uiPriority w:val="99"/>
    <w:rsid w:val="002A00BC"/>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A00BC"/>
    <w:pPr>
      <w:tabs>
        <w:tab w:val="center" w:pos="4677"/>
        <w:tab w:val="right" w:pos="9355"/>
      </w:tabs>
    </w:pPr>
  </w:style>
  <w:style w:type="character" w:customStyle="1" w:styleId="ac">
    <w:name w:val="Нижний колонтитул Знак"/>
    <w:basedOn w:val="a0"/>
    <w:link w:val="ab"/>
    <w:uiPriority w:val="99"/>
    <w:rsid w:val="002A00B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kuzOI@dte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tek.com/investors_and_partners/asset/komsomolec/" TargetMode="External"/><Relationship Id="rId12" Type="http://schemas.openxmlformats.org/officeDocument/2006/relationships/hyperlink" Target="https://www.dtek.com/investors_and_partners/asset/krimener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tek.com/investors_and_partners/asset/komsomol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tek.com/investors_and_partners/asset/komsomolec/" TargetMode="External"/><Relationship Id="rId4" Type="http://schemas.openxmlformats.org/officeDocument/2006/relationships/webSettings" Target="webSettings.xml"/><Relationship Id="rId9" Type="http://schemas.openxmlformats.org/officeDocument/2006/relationships/hyperlink" Target="mailto:Inna.Babenko@koe.vse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6558</Words>
  <Characters>3739</Characters>
  <Application>Microsoft Office Word</Application>
  <DocSecurity>0</DocSecurity>
  <Lines>31</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Pikuz Oksana I.</dc:creator>
  <cp:keywords/>
  <dc:description/>
  <cp:lastModifiedBy>Pikuz Oksana I.</cp:lastModifiedBy>
  <cp:revision>15</cp:revision>
  <dcterms:created xsi:type="dcterms:W3CDTF">2021-03-19T15:28:00Z</dcterms:created>
  <dcterms:modified xsi:type="dcterms:W3CDTF">2021-04-27T09:41:00Z</dcterms:modified>
</cp:coreProperties>
</file>